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DA9" w:rsidRDefault="00E24DA9"/>
    <w:p w:rsidR="000021A7" w:rsidRDefault="000021A7"/>
    <w:p w:rsidR="000021A7" w:rsidRDefault="000021A7"/>
    <w:p w:rsidR="0028567F" w:rsidRDefault="0028567F"/>
    <w:p w:rsidR="0028567F" w:rsidRDefault="0028567F"/>
    <w:p w:rsidR="0028567F" w:rsidRDefault="0028567F"/>
    <w:p w:rsidR="000021A7" w:rsidRDefault="000021A7"/>
    <w:p w:rsidR="000021A7" w:rsidRPr="000021A7" w:rsidRDefault="004F39B3" w:rsidP="000021A7">
      <w:pPr>
        <w:jc w:val="center"/>
        <w:rPr>
          <w:rFonts w:asciiTheme="majorHAnsi" w:hAnsiTheme="majorHAnsi"/>
          <w:color w:val="E36C0A" w:themeColor="accent6" w:themeShade="BF"/>
          <w:sz w:val="52"/>
          <w:szCs w:val="52"/>
        </w:rPr>
      </w:pPr>
      <w:r>
        <w:rPr>
          <w:rFonts w:asciiTheme="majorHAnsi" w:hAnsiTheme="majorHAnsi"/>
          <w:color w:val="E36C0A" w:themeColor="accent6" w:themeShade="BF"/>
          <w:sz w:val="52"/>
          <w:szCs w:val="52"/>
        </w:rPr>
        <w:t>Analiza</w:t>
      </w:r>
      <w:r w:rsidRPr="000021A7">
        <w:rPr>
          <w:rFonts w:asciiTheme="majorHAnsi" w:hAnsiTheme="majorHAnsi"/>
          <w:color w:val="E36C0A" w:themeColor="accent6" w:themeShade="BF"/>
          <w:sz w:val="52"/>
          <w:szCs w:val="52"/>
        </w:rPr>
        <w:t xml:space="preserve"> </w:t>
      </w:r>
      <w:r w:rsidR="000021A7" w:rsidRPr="000021A7">
        <w:rPr>
          <w:rFonts w:asciiTheme="majorHAnsi" w:hAnsiTheme="majorHAnsi"/>
          <w:color w:val="E36C0A" w:themeColor="accent6" w:themeShade="BF"/>
          <w:sz w:val="52"/>
          <w:szCs w:val="52"/>
        </w:rPr>
        <w:t>systemu funkcjonowania Sieci Tematycznych w ramach PO KL</w:t>
      </w:r>
    </w:p>
    <w:p w:rsidR="000021A7" w:rsidRDefault="000021A7" w:rsidP="000021A7">
      <w:pPr>
        <w:jc w:val="center"/>
        <w:rPr>
          <w:rFonts w:asciiTheme="majorHAnsi" w:hAnsiTheme="majorHAnsi"/>
          <w:color w:val="E36C0A" w:themeColor="accent6" w:themeShade="BF"/>
          <w:sz w:val="24"/>
          <w:szCs w:val="24"/>
        </w:rPr>
      </w:pPr>
    </w:p>
    <w:p w:rsidR="000021A7" w:rsidRDefault="000021A7" w:rsidP="000021A7">
      <w:pPr>
        <w:jc w:val="center"/>
        <w:rPr>
          <w:rFonts w:asciiTheme="majorHAnsi" w:hAnsiTheme="majorHAnsi"/>
          <w:color w:val="E36C0A" w:themeColor="accent6" w:themeShade="BF"/>
          <w:sz w:val="24"/>
          <w:szCs w:val="24"/>
        </w:rPr>
      </w:pPr>
    </w:p>
    <w:p w:rsidR="000021A7" w:rsidRDefault="000021A7" w:rsidP="000021A7">
      <w:pPr>
        <w:rPr>
          <w:rFonts w:asciiTheme="majorHAnsi" w:hAnsiTheme="majorHAnsi"/>
          <w:color w:val="E36C0A" w:themeColor="accent6" w:themeShade="BF"/>
          <w:sz w:val="24"/>
          <w:szCs w:val="24"/>
        </w:rPr>
      </w:pPr>
    </w:p>
    <w:p w:rsidR="000021A7" w:rsidRDefault="000021A7" w:rsidP="000021A7">
      <w:pPr>
        <w:rPr>
          <w:rFonts w:asciiTheme="majorHAnsi" w:hAnsiTheme="majorHAnsi"/>
          <w:color w:val="E36C0A" w:themeColor="accent6" w:themeShade="BF"/>
          <w:sz w:val="24"/>
          <w:szCs w:val="24"/>
        </w:rPr>
      </w:pPr>
    </w:p>
    <w:p w:rsidR="000021A7" w:rsidRDefault="000021A7" w:rsidP="000021A7">
      <w:pPr>
        <w:rPr>
          <w:rFonts w:asciiTheme="majorHAnsi" w:hAnsiTheme="majorHAnsi"/>
          <w:color w:val="E36C0A" w:themeColor="accent6" w:themeShade="BF"/>
          <w:sz w:val="24"/>
          <w:szCs w:val="24"/>
        </w:rPr>
      </w:pPr>
    </w:p>
    <w:p w:rsidR="000021A7" w:rsidRDefault="000021A7" w:rsidP="000021A7">
      <w:pPr>
        <w:rPr>
          <w:rFonts w:asciiTheme="majorHAnsi" w:hAnsiTheme="majorHAnsi"/>
          <w:color w:val="E36C0A" w:themeColor="accent6" w:themeShade="BF"/>
          <w:sz w:val="24"/>
          <w:szCs w:val="24"/>
        </w:rPr>
      </w:pPr>
    </w:p>
    <w:p w:rsidR="000021A7" w:rsidRDefault="000021A7" w:rsidP="000021A7">
      <w:pPr>
        <w:rPr>
          <w:rFonts w:asciiTheme="majorHAnsi" w:hAnsiTheme="majorHAnsi"/>
          <w:color w:val="E36C0A" w:themeColor="accent6" w:themeShade="BF"/>
          <w:sz w:val="24"/>
          <w:szCs w:val="24"/>
        </w:rPr>
      </w:pPr>
    </w:p>
    <w:p w:rsidR="000021A7" w:rsidRPr="000021A7" w:rsidRDefault="000021A7" w:rsidP="000021A7">
      <w:pPr>
        <w:rPr>
          <w:rFonts w:asciiTheme="majorHAnsi" w:hAnsiTheme="majorHAnsi"/>
          <w:sz w:val="24"/>
          <w:szCs w:val="24"/>
        </w:rPr>
      </w:pPr>
      <w:r w:rsidRPr="000021A7">
        <w:rPr>
          <w:rFonts w:asciiTheme="majorHAnsi" w:hAnsiTheme="majorHAnsi"/>
          <w:sz w:val="24"/>
          <w:szCs w:val="24"/>
        </w:rPr>
        <w:t>Przygotowanie:</w:t>
      </w:r>
    </w:p>
    <w:p w:rsidR="000021A7" w:rsidRPr="000021A7" w:rsidRDefault="00BE6F25" w:rsidP="000021A7">
      <w:pPr>
        <w:rPr>
          <w:rFonts w:asciiTheme="majorHAnsi" w:hAnsiTheme="majorHAnsi"/>
          <w:sz w:val="24"/>
          <w:szCs w:val="24"/>
        </w:rPr>
      </w:pPr>
      <w:r>
        <w:rPr>
          <w:rFonts w:asciiTheme="majorHAnsi" w:hAnsiTheme="majorHAnsi"/>
          <w:sz w:val="24"/>
          <w:szCs w:val="24"/>
        </w:rPr>
        <w:t>Agnieszka Jarmuszyńska</w:t>
      </w:r>
    </w:p>
    <w:p w:rsidR="000021A7" w:rsidRPr="000021A7" w:rsidRDefault="000021A7" w:rsidP="000021A7">
      <w:pPr>
        <w:rPr>
          <w:rFonts w:asciiTheme="majorHAnsi" w:hAnsiTheme="majorHAnsi"/>
          <w:sz w:val="24"/>
          <w:szCs w:val="24"/>
        </w:rPr>
      </w:pPr>
    </w:p>
    <w:p w:rsidR="000021A7" w:rsidRPr="000021A7" w:rsidRDefault="000021A7" w:rsidP="000021A7">
      <w:pPr>
        <w:rPr>
          <w:rFonts w:asciiTheme="majorHAnsi" w:hAnsiTheme="majorHAnsi"/>
          <w:sz w:val="24"/>
          <w:szCs w:val="24"/>
        </w:rPr>
      </w:pPr>
    </w:p>
    <w:p w:rsidR="000021A7" w:rsidRPr="000021A7" w:rsidRDefault="000021A7" w:rsidP="000021A7">
      <w:pPr>
        <w:rPr>
          <w:rFonts w:asciiTheme="majorHAnsi" w:hAnsiTheme="majorHAnsi"/>
          <w:sz w:val="24"/>
          <w:szCs w:val="24"/>
        </w:rPr>
      </w:pPr>
    </w:p>
    <w:p w:rsidR="000021A7" w:rsidRPr="000021A7" w:rsidRDefault="000021A7" w:rsidP="000021A7">
      <w:pPr>
        <w:rPr>
          <w:rFonts w:asciiTheme="majorHAnsi" w:hAnsiTheme="majorHAnsi"/>
          <w:sz w:val="24"/>
          <w:szCs w:val="24"/>
        </w:rPr>
      </w:pPr>
    </w:p>
    <w:p w:rsidR="000021A7" w:rsidRPr="000021A7" w:rsidRDefault="000021A7" w:rsidP="000021A7">
      <w:pPr>
        <w:rPr>
          <w:rFonts w:asciiTheme="majorHAnsi" w:hAnsiTheme="majorHAnsi"/>
          <w:sz w:val="24"/>
          <w:szCs w:val="24"/>
        </w:rPr>
      </w:pPr>
    </w:p>
    <w:p w:rsidR="000021A7" w:rsidRDefault="000021A7" w:rsidP="000021A7">
      <w:pPr>
        <w:jc w:val="center"/>
        <w:rPr>
          <w:rFonts w:asciiTheme="majorHAnsi" w:hAnsiTheme="majorHAnsi"/>
          <w:b/>
          <w:sz w:val="24"/>
          <w:szCs w:val="24"/>
        </w:rPr>
      </w:pPr>
      <w:r w:rsidRPr="000021A7">
        <w:rPr>
          <w:rFonts w:asciiTheme="majorHAnsi" w:hAnsiTheme="majorHAnsi"/>
          <w:b/>
          <w:sz w:val="24"/>
          <w:szCs w:val="24"/>
        </w:rPr>
        <w:t xml:space="preserve">Warszawa, </w:t>
      </w:r>
      <w:r w:rsidR="004F39B3">
        <w:rPr>
          <w:rFonts w:asciiTheme="majorHAnsi" w:hAnsiTheme="majorHAnsi"/>
          <w:b/>
          <w:sz w:val="24"/>
          <w:szCs w:val="24"/>
        </w:rPr>
        <w:t>grudzień</w:t>
      </w:r>
      <w:r w:rsidR="004F39B3" w:rsidRPr="000021A7">
        <w:rPr>
          <w:rFonts w:asciiTheme="majorHAnsi" w:hAnsiTheme="majorHAnsi"/>
          <w:b/>
          <w:sz w:val="24"/>
          <w:szCs w:val="24"/>
        </w:rPr>
        <w:t xml:space="preserve"> </w:t>
      </w:r>
      <w:r w:rsidRPr="000021A7">
        <w:rPr>
          <w:rFonts w:asciiTheme="majorHAnsi" w:hAnsiTheme="majorHAnsi"/>
          <w:b/>
          <w:sz w:val="24"/>
          <w:szCs w:val="24"/>
        </w:rPr>
        <w:t>2012</w:t>
      </w:r>
      <w:r>
        <w:rPr>
          <w:rFonts w:asciiTheme="majorHAnsi" w:hAnsiTheme="majorHAnsi"/>
          <w:b/>
          <w:sz w:val="24"/>
          <w:szCs w:val="24"/>
        </w:rPr>
        <w:t xml:space="preserve"> r.</w:t>
      </w:r>
    </w:p>
    <w:p w:rsidR="0028567F" w:rsidRDefault="0028567F">
      <w:pPr>
        <w:rPr>
          <w:rFonts w:asciiTheme="majorHAnsi" w:hAnsiTheme="majorHAnsi"/>
          <w:b/>
          <w:color w:val="E36C0A" w:themeColor="accent6" w:themeShade="BF"/>
          <w:sz w:val="24"/>
          <w:szCs w:val="24"/>
        </w:rPr>
      </w:pPr>
      <w:r>
        <w:rPr>
          <w:rFonts w:asciiTheme="majorHAnsi" w:hAnsiTheme="majorHAnsi"/>
          <w:b/>
          <w:color w:val="E36C0A" w:themeColor="accent6" w:themeShade="BF"/>
          <w:sz w:val="24"/>
          <w:szCs w:val="24"/>
        </w:rPr>
        <w:br w:type="page"/>
      </w:r>
    </w:p>
    <w:p w:rsidR="00190311" w:rsidRDefault="003F7922" w:rsidP="000021A7">
      <w:pPr>
        <w:jc w:val="both"/>
        <w:rPr>
          <w:sz w:val="24"/>
          <w:szCs w:val="24"/>
        </w:rPr>
      </w:pPr>
      <w:r>
        <w:rPr>
          <w:sz w:val="24"/>
          <w:szCs w:val="24"/>
        </w:rPr>
        <w:t>Wnioski z oceny systemu ST oparte na opiniach resp</w:t>
      </w:r>
      <w:r w:rsidR="00190311">
        <w:rPr>
          <w:sz w:val="24"/>
          <w:szCs w:val="24"/>
        </w:rPr>
        <w:t xml:space="preserve">ondentów przedstawiamy poniżej posegregowane w </w:t>
      </w:r>
      <w:r w:rsidR="005B34AE">
        <w:rPr>
          <w:sz w:val="24"/>
          <w:szCs w:val="24"/>
        </w:rPr>
        <w:t>3</w:t>
      </w:r>
      <w:r w:rsidR="00190311">
        <w:rPr>
          <w:sz w:val="24"/>
          <w:szCs w:val="24"/>
        </w:rPr>
        <w:t xml:space="preserve"> obszarach.</w:t>
      </w:r>
    </w:p>
    <w:p w:rsidR="00190311" w:rsidRDefault="00190311" w:rsidP="00190311">
      <w:pPr>
        <w:pStyle w:val="Akapitzlist"/>
        <w:numPr>
          <w:ilvl w:val="0"/>
          <w:numId w:val="2"/>
        </w:numPr>
        <w:jc w:val="both"/>
        <w:rPr>
          <w:b/>
          <w:sz w:val="24"/>
          <w:szCs w:val="24"/>
        </w:rPr>
      </w:pPr>
      <w:r w:rsidRPr="00190311">
        <w:rPr>
          <w:b/>
          <w:sz w:val="24"/>
          <w:szCs w:val="24"/>
        </w:rPr>
        <w:t>realizacja zadań merytorycznych przez Sieci Tematyczne</w:t>
      </w:r>
    </w:p>
    <w:p w:rsidR="000D1157" w:rsidRPr="000D1157" w:rsidRDefault="000D1157" w:rsidP="000D1157">
      <w:pPr>
        <w:jc w:val="both"/>
        <w:rPr>
          <w:b/>
          <w:sz w:val="24"/>
          <w:szCs w:val="24"/>
          <w:u w:val="single"/>
        </w:rPr>
      </w:pPr>
      <w:r w:rsidRPr="000D1157">
        <w:rPr>
          <w:b/>
          <w:sz w:val="24"/>
          <w:szCs w:val="24"/>
          <w:u w:val="single"/>
        </w:rPr>
        <w:t>Kwestie ogólne</w:t>
      </w:r>
    </w:p>
    <w:p w:rsidR="00190311" w:rsidRDefault="00190311" w:rsidP="00190311">
      <w:pPr>
        <w:jc w:val="both"/>
        <w:rPr>
          <w:sz w:val="24"/>
          <w:szCs w:val="24"/>
        </w:rPr>
      </w:pPr>
      <w:r>
        <w:rPr>
          <w:sz w:val="24"/>
          <w:szCs w:val="24"/>
        </w:rPr>
        <w:t xml:space="preserve">Przeważająca większość badanych potwierdza, iż </w:t>
      </w:r>
      <w:r w:rsidRPr="005B34AE">
        <w:rPr>
          <w:b/>
          <w:sz w:val="24"/>
          <w:szCs w:val="24"/>
        </w:rPr>
        <w:t>system funkcjonowania ST</w:t>
      </w:r>
      <w:r>
        <w:rPr>
          <w:sz w:val="24"/>
          <w:szCs w:val="24"/>
        </w:rPr>
        <w:t xml:space="preserve"> </w:t>
      </w:r>
      <w:r w:rsidRPr="005B34AE">
        <w:rPr>
          <w:b/>
          <w:sz w:val="24"/>
          <w:szCs w:val="24"/>
        </w:rPr>
        <w:t>umożliwia dialog, wymianę doświadczeń</w:t>
      </w:r>
      <w:r>
        <w:rPr>
          <w:sz w:val="24"/>
          <w:szCs w:val="24"/>
        </w:rPr>
        <w:t xml:space="preserve"> pomiędzy beneficjentami, ekspertami i pozostałymi członkami Sieci. </w:t>
      </w:r>
      <w:r w:rsidR="005B34AE">
        <w:rPr>
          <w:sz w:val="24"/>
          <w:szCs w:val="24"/>
        </w:rPr>
        <w:t xml:space="preserve">Jednakże wśród uzasadnień podawanych dla odpowiedzi pozytywnych padały stwierdzenia wskazywano na niewystarczający stopień wykorzystania uprawnień Sieci Tematycznych w tym zakresie. </w:t>
      </w:r>
      <w:r>
        <w:rPr>
          <w:sz w:val="24"/>
          <w:szCs w:val="24"/>
        </w:rPr>
        <w:t xml:space="preserve">Wśród tych, którzy </w:t>
      </w:r>
      <w:r w:rsidR="005B34AE">
        <w:rPr>
          <w:sz w:val="24"/>
          <w:szCs w:val="24"/>
        </w:rPr>
        <w:t>udzielili odpowiedzi negatywnej</w:t>
      </w:r>
      <w:r>
        <w:rPr>
          <w:sz w:val="24"/>
          <w:szCs w:val="24"/>
        </w:rPr>
        <w:t>, najczęściej padały stwierdzenia, iż dialog i wymiana doświadczeń jest w ramach ST utrudniona ze względu na brak czasu wynikający m.in. z faktu, iż posiedzenia poświęcone są wyłącznie opiniowaniu strategii wdrażania i walidacji produktów finalnych.</w:t>
      </w:r>
    </w:p>
    <w:p w:rsidR="00CC1F28" w:rsidRDefault="00CC1F28" w:rsidP="00190311">
      <w:pPr>
        <w:jc w:val="both"/>
        <w:rPr>
          <w:sz w:val="24"/>
          <w:szCs w:val="24"/>
        </w:rPr>
      </w:pPr>
      <w:r>
        <w:rPr>
          <w:sz w:val="24"/>
          <w:szCs w:val="24"/>
        </w:rPr>
        <w:t>Udzielając odpowiedzi na podobne pytanie o możliwości, jakie stwarza udział w pracach Sieci Tematycznej, respondenci oprócz wymiany wiedzy i doświadczeń, wskazali również: możliwość poznania specyfiki innych produktów finalnych wypracowywanych w obszarze działania danej ST, możliwość weryfikacji założeń projektowych.</w:t>
      </w:r>
    </w:p>
    <w:p w:rsidR="00190311" w:rsidRDefault="00190311" w:rsidP="00190311">
      <w:pPr>
        <w:jc w:val="both"/>
        <w:rPr>
          <w:sz w:val="24"/>
          <w:szCs w:val="24"/>
        </w:rPr>
      </w:pPr>
      <w:r>
        <w:rPr>
          <w:sz w:val="24"/>
          <w:szCs w:val="24"/>
        </w:rPr>
        <w:t>Według opinii</w:t>
      </w:r>
      <w:r w:rsidR="002A57DD">
        <w:rPr>
          <w:sz w:val="24"/>
          <w:szCs w:val="24"/>
        </w:rPr>
        <w:t xml:space="preserve"> </w:t>
      </w:r>
      <w:r w:rsidR="00460860">
        <w:rPr>
          <w:sz w:val="24"/>
          <w:szCs w:val="24"/>
        </w:rPr>
        <w:t>większości</w:t>
      </w:r>
      <w:r>
        <w:rPr>
          <w:sz w:val="24"/>
          <w:szCs w:val="24"/>
        </w:rPr>
        <w:t xml:space="preserve"> respondentów, </w:t>
      </w:r>
      <w:r w:rsidRPr="005B34AE">
        <w:rPr>
          <w:b/>
          <w:sz w:val="24"/>
          <w:szCs w:val="24"/>
        </w:rPr>
        <w:t>beneficjenci projektów innowacyjnych otrzymują wsparcie od członków Sieci Tematycznych</w:t>
      </w:r>
      <w:r>
        <w:rPr>
          <w:sz w:val="24"/>
          <w:szCs w:val="24"/>
        </w:rPr>
        <w:t xml:space="preserve">. Najczęściej przybiera ono formę: </w:t>
      </w:r>
      <w:r w:rsidR="00AF2CA3">
        <w:rPr>
          <w:sz w:val="24"/>
          <w:szCs w:val="24"/>
        </w:rPr>
        <w:t xml:space="preserve">doradztwa, szkoleń, wsparcia w zakresie przygotowywania strategii wdrażania, wsparcia ze strony sekretariatu ST, udziału członków ST w przeglądach okresowych PI. </w:t>
      </w:r>
    </w:p>
    <w:p w:rsidR="00AF2CA3" w:rsidRDefault="00CC1F28" w:rsidP="00190311">
      <w:pPr>
        <w:jc w:val="both"/>
        <w:rPr>
          <w:sz w:val="24"/>
          <w:szCs w:val="24"/>
        </w:rPr>
      </w:pPr>
      <w:r w:rsidRPr="00CC1F28">
        <w:rPr>
          <w:sz w:val="24"/>
          <w:szCs w:val="24"/>
        </w:rPr>
        <w:t>W odpowiedzi na pytanie o działania podejmowane przez ST na rzecz</w:t>
      </w:r>
      <w:r>
        <w:rPr>
          <w:b/>
          <w:sz w:val="24"/>
          <w:szCs w:val="24"/>
        </w:rPr>
        <w:t xml:space="preserve"> umożliwiania dialogu pomiędzy beneficjentami a decydentami, </w:t>
      </w:r>
      <w:r w:rsidR="00460860">
        <w:rPr>
          <w:sz w:val="24"/>
          <w:szCs w:val="24"/>
        </w:rPr>
        <w:t>większość</w:t>
      </w:r>
      <w:r w:rsidR="00AF2CA3">
        <w:rPr>
          <w:sz w:val="24"/>
          <w:szCs w:val="24"/>
        </w:rPr>
        <w:t xml:space="preserve"> badanych</w:t>
      </w:r>
      <w:r>
        <w:rPr>
          <w:sz w:val="24"/>
          <w:szCs w:val="24"/>
        </w:rPr>
        <w:t xml:space="preserve"> udzieliło odpowiedzi pozytywnej</w:t>
      </w:r>
      <w:r w:rsidR="00AF2CA3">
        <w:rPr>
          <w:sz w:val="24"/>
          <w:szCs w:val="24"/>
        </w:rPr>
        <w:t>.</w:t>
      </w:r>
      <w:r w:rsidR="00C61E03">
        <w:rPr>
          <w:sz w:val="24"/>
          <w:szCs w:val="24"/>
        </w:rPr>
        <w:t xml:space="preserve"> Jednakże zwracano także uwagę na fakt niewystarczającej reprezentacji decydentów w składzie Sieci lub też jej brak. </w:t>
      </w:r>
    </w:p>
    <w:p w:rsidR="00AF2CA3" w:rsidRDefault="00AF2CA3" w:rsidP="00190311">
      <w:pPr>
        <w:jc w:val="both"/>
        <w:rPr>
          <w:sz w:val="24"/>
          <w:szCs w:val="24"/>
        </w:rPr>
      </w:pPr>
      <w:r>
        <w:rPr>
          <w:sz w:val="24"/>
          <w:szCs w:val="24"/>
        </w:rPr>
        <w:t xml:space="preserve">Opinie na temat konieczności </w:t>
      </w:r>
      <w:r w:rsidRPr="005B34AE">
        <w:rPr>
          <w:b/>
          <w:sz w:val="24"/>
          <w:szCs w:val="24"/>
        </w:rPr>
        <w:t>organizowania posiedzeń ST poświęconych dyskusji na temat założeń projektów</w:t>
      </w:r>
      <w:r>
        <w:rPr>
          <w:sz w:val="24"/>
          <w:szCs w:val="24"/>
        </w:rPr>
        <w:t xml:space="preserve"> innowacyjnych były podzielone. </w:t>
      </w:r>
      <w:r w:rsidR="00460860">
        <w:rPr>
          <w:sz w:val="24"/>
          <w:szCs w:val="24"/>
        </w:rPr>
        <w:t>Zaledwie nieco ponad połowa</w:t>
      </w:r>
      <w:r>
        <w:rPr>
          <w:sz w:val="24"/>
          <w:szCs w:val="24"/>
        </w:rPr>
        <w:t xml:space="preserve"> respondentów potwierdza taką potrzebę. Du</w:t>
      </w:r>
      <w:r w:rsidR="006308D1">
        <w:rPr>
          <w:sz w:val="24"/>
          <w:szCs w:val="24"/>
        </w:rPr>
        <w:t>ży procent odpowiedzi negatywnych</w:t>
      </w:r>
      <w:r>
        <w:rPr>
          <w:sz w:val="24"/>
          <w:szCs w:val="24"/>
        </w:rPr>
        <w:t xml:space="preserve"> może być spowodowany tym, iż tak jak wyżej wykazano, zdecydowana większość badanych uważa, iż obecnie funkcjonujący system ST umożliwia dialog i wymianę doświadczeń, dlatego też nie widzi konieczności organizowania </w:t>
      </w:r>
      <w:r w:rsidR="00CC1F28">
        <w:rPr>
          <w:sz w:val="24"/>
          <w:szCs w:val="24"/>
        </w:rPr>
        <w:t xml:space="preserve">odrębnych </w:t>
      </w:r>
      <w:r>
        <w:rPr>
          <w:sz w:val="24"/>
          <w:szCs w:val="24"/>
        </w:rPr>
        <w:t xml:space="preserve">posiedzeń poświęconych </w:t>
      </w:r>
      <w:r w:rsidR="006308D1">
        <w:rPr>
          <w:sz w:val="24"/>
          <w:szCs w:val="24"/>
        </w:rPr>
        <w:t xml:space="preserve">dyskusji nad założeniami projektów innowacyjnych. </w:t>
      </w:r>
    </w:p>
    <w:p w:rsidR="006308D1" w:rsidRDefault="006308D1" w:rsidP="00190311">
      <w:pPr>
        <w:jc w:val="both"/>
        <w:rPr>
          <w:sz w:val="24"/>
          <w:szCs w:val="24"/>
        </w:rPr>
      </w:pPr>
      <w:r w:rsidRPr="005B34AE">
        <w:rPr>
          <w:b/>
          <w:sz w:val="24"/>
          <w:szCs w:val="24"/>
        </w:rPr>
        <w:t xml:space="preserve">Wsparcie Sieci Tematycznych w zakresie działań upowszechniających i włączających zostało ocenione przez </w:t>
      </w:r>
      <w:r w:rsidR="006B3B22">
        <w:rPr>
          <w:b/>
          <w:sz w:val="24"/>
          <w:szCs w:val="24"/>
        </w:rPr>
        <w:t>połowę</w:t>
      </w:r>
      <w:r w:rsidRPr="005B34AE">
        <w:rPr>
          <w:b/>
          <w:sz w:val="24"/>
          <w:szCs w:val="24"/>
        </w:rPr>
        <w:t xml:space="preserve"> badanych jako raczej wysokie i wysokie</w:t>
      </w:r>
      <w:r>
        <w:rPr>
          <w:sz w:val="24"/>
          <w:szCs w:val="24"/>
        </w:rPr>
        <w:t xml:space="preserve">.  </w:t>
      </w:r>
      <w:r w:rsidR="00B40AF8">
        <w:rPr>
          <w:sz w:val="24"/>
          <w:szCs w:val="24"/>
        </w:rPr>
        <w:t xml:space="preserve">Jako uzasadnienie </w:t>
      </w:r>
      <w:r w:rsidR="00460860">
        <w:rPr>
          <w:sz w:val="24"/>
          <w:szCs w:val="24"/>
        </w:rPr>
        <w:t xml:space="preserve">odpowiedzi negatywnych </w:t>
      </w:r>
      <w:r w:rsidR="00B40AF8">
        <w:rPr>
          <w:sz w:val="24"/>
          <w:szCs w:val="24"/>
        </w:rPr>
        <w:t>powoływano się na mały stopień zaawansowania realizacji projektów, brak czas</w:t>
      </w:r>
      <w:r w:rsidR="002A57DD">
        <w:rPr>
          <w:sz w:val="24"/>
          <w:szCs w:val="24"/>
        </w:rPr>
        <w:t>u podczas posiedzeń ST, bądź też</w:t>
      </w:r>
      <w:r w:rsidR="00B40AF8">
        <w:rPr>
          <w:sz w:val="24"/>
          <w:szCs w:val="24"/>
        </w:rPr>
        <w:t xml:space="preserve"> podejmowanie jedynie działań o charakterze upowszechniającym. Powyższe wskazuje więc na konieczność podjęcia refleksji przez Sieci Tematyczne </w:t>
      </w:r>
      <w:r w:rsidR="00AB1BAA">
        <w:rPr>
          <w:sz w:val="24"/>
          <w:szCs w:val="24"/>
        </w:rPr>
        <w:t xml:space="preserve">i przemyślane zaplanowanie swojej aktywności w powyższym zakresie. Wsparcie beneficjentów w procesie upowszechniania i włączania do głównego nurtu polityki/praktyki jest jednym z głównych zadań Sieci Tematycznych. </w:t>
      </w:r>
    </w:p>
    <w:p w:rsidR="00D80047" w:rsidRDefault="00AB1BAA" w:rsidP="00190311">
      <w:pPr>
        <w:jc w:val="both"/>
        <w:rPr>
          <w:sz w:val="24"/>
          <w:szCs w:val="24"/>
        </w:rPr>
      </w:pPr>
      <w:r w:rsidRPr="005B34AE">
        <w:rPr>
          <w:b/>
          <w:sz w:val="24"/>
          <w:szCs w:val="24"/>
        </w:rPr>
        <w:t>Respondenci bardzo wysoko ocenili poziom opinii przygotowywanych przez ekspertów</w:t>
      </w:r>
      <w:r>
        <w:rPr>
          <w:sz w:val="24"/>
          <w:szCs w:val="24"/>
        </w:rPr>
        <w:t xml:space="preserve"> na potrzeby opiniowania strategii wdrażania i walidacji produktów finalnych. </w:t>
      </w:r>
    </w:p>
    <w:p w:rsidR="00C423F9" w:rsidRPr="00C423F9" w:rsidRDefault="00C423F9" w:rsidP="00190311">
      <w:pPr>
        <w:jc w:val="both"/>
        <w:rPr>
          <w:b/>
          <w:sz w:val="24"/>
          <w:szCs w:val="24"/>
          <w:u w:val="single"/>
        </w:rPr>
      </w:pPr>
      <w:r w:rsidRPr="00C423F9">
        <w:rPr>
          <w:b/>
          <w:sz w:val="24"/>
          <w:szCs w:val="24"/>
          <w:u w:val="single"/>
        </w:rPr>
        <w:t>Udział beneficjentów w pracach ST</w:t>
      </w:r>
    </w:p>
    <w:p w:rsidR="00B02810" w:rsidRDefault="00033CF7" w:rsidP="00190311">
      <w:pPr>
        <w:jc w:val="both"/>
        <w:rPr>
          <w:sz w:val="24"/>
          <w:szCs w:val="24"/>
        </w:rPr>
      </w:pPr>
      <w:r>
        <w:rPr>
          <w:b/>
          <w:sz w:val="24"/>
          <w:szCs w:val="24"/>
        </w:rPr>
        <w:t>Ponad połowa</w:t>
      </w:r>
      <w:r w:rsidR="00B02810" w:rsidRPr="00001B13">
        <w:rPr>
          <w:b/>
          <w:sz w:val="24"/>
          <w:szCs w:val="24"/>
        </w:rPr>
        <w:t xml:space="preserve"> beneficjentów został</w:t>
      </w:r>
      <w:r>
        <w:rPr>
          <w:b/>
          <w:sz w:val="24"/>
          <w:szCs w:val="24"/>
        </w:rPr>
        <w:t>a</w:t>
      </w:r>
      <w:r w:rsidR="00B02810" w:rsidRPr="00001B13">
        <w:rPr>
          <w:b/>
          <w:sz w:val="24"/>
          <w:szCs w:val="24"/>
        </w:rPr>
        <w:t xml:space="preserve"> z</w:t>
      </w:r>
      <w:r w:rsidR="001617D6" w:rsidRPr="00001B13">
        <w:rPr>
          <w:b/>
          <w:sz w:val="24"/>
          <w:szCs w:val="24"/>
        </w:rPr>
        <w:t>aproszon</w:t>
      </w:r>
      <w:r>
        <w:rPr>
          <w:b/>
          <w:sz w:val="24"/>
          <w:szCs w:val="24"/>
        </w:rPr>
        <w:t>a</w:t>
      </w:r>
      <w:r w:rsidR="001617D6" w:rsidRPr="00001B13">
        <w:rPr>
          <w:b/>
          <w:sz w:val="24"/>
          <w:szCs w:val="24"/>
        </w:rPr>
        <w:t xml:space="preserve"> do udziału w Sieci T</w:t>
      </w:r>
      <w:r w:rsidR="00B02810" w:rsidRPr="00001B13">
        <w:rPr>
          <w:b/>
          <w:sz w:val="24"/>
          <w:szCs w:val="24"/>
        </w:rPr>
        <w:t>ematycznej bezpośrednio po podpisaniu umowy o dofinansowanie</w:t>
      </w:r>
      <w:r w:rsidR="00B02810">
        <w:rPr>
          <w:sz w:val="24"/>
          <w:szCs w:val="24"/>
        </w:rPr>
        <w:t xml:space="preserve">, czyli zgodnie </w:t>
      </w:r>
      <w:r w:rsidR="001617D6">
        <w:rPr>
          <w:sz w:val="24"/>
          <w:szCs w:val="24"/>
        </w:rPr>
        <w:t xml:space="preserve">z dokumentami programowymi. </w:t>
      </w:r>
      <w:r>
        <w:rPr>
          <w:sz w:val="24"/>
          <w:szCs w:val="24"/>
        </w:rPr>
        <w:t>Zdecydowana większość</w:t>
      </w:r>
      <w:r w:rsidR="00B02810">
        <w:rPr>
          <w:sz w:val="24"/>
          <w:szCs w:val="24"/>
        </w:rPr>
        <w:t xml:space="preserve"> został</w:t>
      </w:r>
      <w:r>
        <w:rPr>
          <w:sz w:val="24"/>
          <w:szCs w:val="24"/>
        </w:rPr>
        <w:t>a</w:t>
      </w:r>
      <w:r w:rsidR="00B02810">
        <w:rPr>
          <w:sz w:val="24"/>
          <w:szCs w:val="24"/>
        </w:rPr>
        <w:t xml:space="preserve"> poinformowan</w:t>
      </w:r>
      <w:r>
        <w:rPr>
          <w:sz w:val="24"/>
          <w:szCs w:val="24"/>
        </w:rPr>
        <w:t>a</w:t>
      </w:r>
      <w:r w:rsidR="00B02810">
        <w:rPr>
          <w:sz w:val="24"/>
          <w:szCs w:val="24"/>
        </w:rPr>
        <w:t xml:space="preserve"> przez sekretarza danej ST o zasadach składania strategii wdrażania projektu innowacyjnego oraz produ</w:t>
      </w:r>
      <w:r w:rsidR="00A15F17">
        <w:rPr>
          <w:sz w:val="24"/>
          <w:szCs w:val="24"/>
        </w:rPr>
        <w:t xml:space="preserve">ktu finalnego do walidacji. </w:t>
      </w:r>
      <w:r>
        <w:rPr>
          <w:sz w:val="24"/>
          <w:szCs w:val="24"/>
        </w:rPr>
        <w:t>1/3</w:t>
      </w:r>
      <w:r w:rsidR="00B02810">
        <w:rPr>
          <w:sz w:val="24"/>
          <w:szCs w:val="24"/>
        </w:rPr>
        <w:t xml:space="preserve"> </w:t>
      </w:r>
      <w:r>
        <w:rPr>
          <w:sz w:val="24"/>
          <w:szCs w:val="24"/>
        </w:rPr>
        <w:t xml:space="preserve">nie </w:t>
      </w:r>
      <w:r w:rsidR="00B02810">
        <w:rPr>
          <w:sz w:val="24"/>
          <w:szCs w:val="24"/>
        </w:rPr>
        <w:t>miał</w:t>
      </w:r>
      <w:r>
        <w:rPr>
          <w:sz w:val="24"/>
          <w:szCs w:val="24"/>
        </w:rPr>
        <w:t>a</w:t>
      </w:r>
      <w:r w:rsidR="00B02810">
        <w:rPr>
          <w:sz w:val="24"/>
          <w:szCs w:val="24"/>
        </w:rPr>
        <w:t xml:space="preserve"> możliwość zaprezentowania założeń swoich przedsięwz</w:t>
      </w:r>
      <w:r w:rsidR="00001B13">
        <w:rPr>
          <w:sz w:val="24"/>
          <w:szCs w:val="24"/>
        </w:rPr>
        <w:t>ięć podczas posiedzenia ST</w:t>
      </w:r>
      <w:r w:rsidR="00B02810">
        <w:rPr>
          <w:sz w:val="24"/>
          <w:szCs w:val="24"/>
        </w:rPr>
        <w:t xml:space="preserve">. Możliwość ustnego przekazu i spotkania z beneficjentem może okazać się kluczowa dla właściwego zrozumienia i poznania wypracowywanych produktów finalnych, dlatego też Sieci Tematyczne </w:t>
      </w:r>
      <w:r w:rsidR="00307D5F">
        <w:rPr>
          <w:sz w:val="24"/>
          <w:szCs w:val="24"/>
        </w:rPr>
        <w:t>powinny mieć to na uwadze</w:t>
      </w:r>
      <w:r w:rsidR="00B02810">
        <w:rPr>
          <w:sz w:val="24"/>
          <w:szCs w:val="24"/>
        </w:rPr>
        <w:t xml:space="preserve"> przy planowaniu tematyki swoich posiedzeń. </w:t>
      </w:r>
    </w:p>
    <w:p w:rsidR="000056B1" w:rsidRDefault="000056B1" w:rsidP="000056B1">
      <w:pPr>
        <w:pStyle w:val="Akapitzlist"/>
        <w:numPr>
          <w:ilvl w:val="0"/>
          <w:numId w:val="2"/>
        </w:numPr>
        <w:jc w:val="both"/>
        <w:rPr>
          <w:b/>
          <w:sz w:val="24"/>
          <w:szCs w:val="24"/>
        </w:rPr>
      </w:pPr>
      <w:r w:rsidRPr="000056B1">
        <w:rPr>
          <w:b/>
          <w:sz w:val="24"/>
          <w:szCs w:val="24"/>
        </w:rPr>
        <w:t>realizacja zadań związanych z obsługą organizacyjną posiedzeń ST</w:t>
      </w:r>
    </w:p>
    <w:p w:rsidR="00D11A2F" w:rsidRPr="00D11A2F" w:rsidRDefault="00D11A2F" w:rsidP="00D11A2F">
      <w:pPr>
        <w:jc w:val="both"/>
        <w:rPr>
          <w:b/>
          <w:sz w:val="24"/>
          <w:szCs w:val="24"/>
          <w:u w:val="single"/>
        </w:rPr>
      </w:pPr>
      <w:r w:rsidRPr="00D11A2F">
        <w:rPr>
          <w:b/>
          <w:sz w:val="24"/>
          <w:szCs w:val="24"/>
          <w:u w:val="single"/>
        </w:rPr>
        <w:t>Organizacja posiedzeń ST</w:t>
      </w:r>
    </w:p>
    <w:p w:rsidR="005138AC" w:rsidRDefault="000239A2" w:rsidP="000056B1">
      <w:pPr>
        <w:jc w:val="both"/>
        <w:rPr>
          <w:sz w:val="24"/>
          <w:szCs w:val="24"/>
        </w:rPr>
      </w:pPr>
      <w:r>
        <w:rPr>
          <w:sz w:val="24"/>
          <w:szCs w:val="24"/>
        </w:rPr>
        <w:t xml:space="preserve">Analiza działań podejmowanych w celu przygotowania i obsługi posiedzeń ST wskazuje, iż organizacja </w:t>
      </w:r>
      <w:r w:rsidR="00C503F6">
        <w:rPr>
          <w:sz w:val="24"/>
          <w:szCs w:val="24"/>
        </w:rPr>
        <w:t xml:space="preserve">posiedzeń </w:t>
      </w:r>
      <w:r>
        <w:rPr>
          <w:sz w:val="24"/>
          <w:szCs w:val="24"/>
        </w:rPr>
        <w:t xml:space="preserve">nie budzi zastrzeżeń. </w:t>
      </w:r>
      <w:r w:rsidR="00C503F6">
        <w:rPr>
          <w:sz w:val="24"/>
          <w:szCs w:val="24"/>
        </w:rPr>
        <w:t>Jednocześnie wśród elementów utrudniających efektywnoś</w:t>
      </w:r>
      <w:r w:rsidR="00261CBB">
        <w:rPr>
          <w:sz w:val="24"/>
          <w:szCs w:val="24"/>
        </w:rPr>
        <w:t>ć</w:t>
      </w:r>
      <w:r w:rsidR="00C503F6">
        <w:rPr>
          <w:sz w:val="24"/>
          <w:szCs w:val="24"/>
        </w:rPr>
        <w:t xml:space="preserve"> prac Sekretariatów </w:t>
      </w:r>
      <w:r w:rsidR="00261CBB">
        <w:rPr>
          <w:sz w:val="24"/>
          <w:szCs w:val="24"/>
        </w:rPr>
        <w:t>ST oraz samych posiedzeń wskazano - jako</w:t>
      </w:r>
      <w:r w:rsidR="00C503F6">
        <w:rPr>
          <w:sz w:val="24"/>
          <w:szCs w:val="24"/>
        </w:rPr>
        <w:t xml:space="preserve"> </w:t>
      </w:r>
      <w:r w:rsidR="00261CBB">
        <w:rPr>
          <w:sz w:val="24"/>
          <w:szCs w:val="24"/>
        </w:rPr>
        <w:t>n</w:t>
      </w:r>
      <w:r w:rsidR="005138AC">
        <w:rPr>
          <w:sz w:val="24"/>
          <w:szCs w:val="24"/>
        </w:rPr>
        <w:t>ajwiększą barier</w:t>
      </w:r>
      <w:r w:rsidR="00261CBB">
        <w:rPr>
          <w:sz w:val="24"/>
          <w:szCs w:val="24"/>
        </w:rPr>
        <w:t>ę -fakt</w:t>
      </w:r>
      <w:r w:rsidR="005138AC">
        <w:rPr>
          <w:sz w:val="24"/>
          <w:szCs w:val="24"/>
        </w:rPr>
        <w:t>, iż członkowie ST często nie potwierdzają swojej obecności lub nieobecności na posiedzeniu. Ten problem z kolei utrudnia osiągnięcie wymaganego do podejmowania decyzji quorum. Przycz</w:t>
      </w:r>
      <w:r w:rsidR="007C77C3">
        <w:rPr>
          <w:sz w:val="24"/>
          <w:szCs w:val="24"/>
        </w:rPr>
        <w:t xml:space="preserve">yną tego zjawiska może być fakt, iż członkowie ST często są osobami skoncentrowanymi na swojej pracy zawodowej, członkostwo w ST stanowi dla nich dodatkową aktywność, z której nie są rozliczani. </w:t>
      </w:r>
    </w:p>
    <w:p w:rsidR="005138AC" w:rsidRPr="005138AC" w:rsidRDefault="005138AC" w:rsidP="000056B1">
      <w:pPr>
        <w:jc w:val="both"/>
        <w:rPr>
          <w:b/>
          <w:sz w:val="24"/>
          <w:szCs w:val="24"/>
          <w:u w:val="single"/>
        </w:rPr>
      </w:pPr>
      <w:r w:rsidRPr="005138AC">
        <w:rPr>
          <w:b/>
          <w:sz w:val="24"/>
          <w:szCs w:val="24"/>
          <w:u w:val="single"/>
        </w:rPr>
        <w:t>Kontraktacja ekspertów na potrzeby ST</w:t>
      </w:r>
    </w:p>
    <w:p w:rsidR="005138AC" w:rsidRDefault="00BB280E" w:rsidP="000056B1">
      <w:pPr>
        <w:jc w:val="both"/>
        <w:rPr>
          <w:sz w:val="24"/>
          <w:szCs w:val="24"/>
        </w:rPr>
      </w:pPr>
      <w:r>
        <w:rPr>
          <w:sz w:val="24"/>
          <w:szCs w:val="24"/>
        </w:rPr>
        <w:t>Kolejnym problemem utrudniającym pracę ST jest  brak ekspertów chętnych do opiniowania strategii wdrażania/walidacji produktów finalnych (</w:t>
      </w:r>
      <w:r w:rsidR="00927CF7">
        <w:rPr>
          <w:sz w:val="24"/>
          <w:szCs w:val="24"/>
        </w:rPr>
        <w:t>1/4</w:t>
      </w:r>
      <w:r>
        <w:rPr>
          <w:sz w:val="24"/>
          <w:szCs w:val="24"/>
        </w:rPr>
        <w:t xml:space="preserve"> badanych wskazało ten problem). Na etapie ich kontraktowania sekretarze ST najczęściej borykają się z</w:t>
      </w:r>
      <w:r w:rsidR="00927CF7">
        <w:rPr>
          <w:sz w:val="24"/>
          <w:szCs w:val="24"/>
        </w:rPr>
        <w:t>:</w:t>
      </w:r>
      <w:r>
        <w:rPr>
          <w:sz w:val="24"/>
          <w:szCs w:val="24"/>
        </w:rPr>
        <w:t xml:space="preserve"> </w:t>
      </w:r>
      <w:r w:rsidRPr="00001B13">
        <w:rPr>
          <w:b/>
          <w:sz w:val="24"/>
          <w:szCs w:val="24"/>
        </w:rPr>
        <w:t>brakiem chętnych zainteresowanych współpracą</w:t>
      </w:r>
      <w:r>
        <w:rPr>
          <w:sz w:val="24"/>
          <w:szCs w:val="24"/>
        </w:rPr>
        <w:t xml:space="preserve">, a także </w:t>
      </w:r>
      <w:r w:rsidRPr="00001B13">
        <w:rPr>
          <w:b/>
          <w:sz w:val="24"/>
          <w:szCs w:val="24"/>
        </w:rPr>
        <w:t xml:space="preserve">brakiem </w:t>
      </w:r>
      <w:r w:rsidR="00A15F17" w:rsidRPr="00001B13">
        <w:rPr>
          <w:b/>
          <w:sz w:val="24"/>
          <w:szCs w:val="24"/>
        </w:rPr>
        <w:t xml:space="preserve">wśród ekspertów </w:t>
      </w:r>
      <w:r w:rsidRPr="00001B13">
        <w:rPr>
          <w:b/>
          <w:sz w:val="24"/>
          <w:szCs w:val="24"/>
        </w:rPr>
        <w:t>odpowiedniego doświadczenia niezbędnego do opiniowania strategii wdrażania czy walidacji</w:t>
      </w:r>
      <w:r>
        <w:rPr>
          <w:sz w:val="24"/>
          <w:szCs w:val="24"/>
        </w:rPr>
        <w:t xml:space="preserve">. </w:t>
      </w:r>
      <w:r w:rsidR="008033D8">
        <w:rPr>
          <w:sz w:val="24"/>
          <w:szCs w:val="24"/>
        </w:rPr>
        <w:t>Strategia wdrażania projektu innowacyjnego, a także produkt finalny obejmują bardzo często wiele obszernych dokumentów, których ocena bywa bardzo pracochłonna. Dodatkowo oprócz sporządzenia pisemnej oceny, ekspert jest zobowiązany do prezentacji swojej opinii podczas posiedzenia ST, które odbywają się na terenie całej Polski.</w:t>
      </w:r>
      <w:r w:rsidR="00A15F17">
        <w:rPr>
          <w:sz w:val="24"/>
          <w:szCs w:val="24"/>
        </w:rPr>
        <w:t xml:space="preserve"> Z dokumentacji posiedzeń KST i RST</w:t>
      </w:r>
      <w:r w:rsidR="00001B13">
        <w:rPr>
          <w:sz w:val="24"/>
          <w:szCs w:val="24"/>
        </w:rPr>
        <w:t xml:space="preserve"> wynika</w:t>
      </w:r>
      <w:r w:rsidR="00A15F17">
        <w:rPr>
          <w:sz w:val="24"/>
          <w:szCs w:val="24"/>
        </w:rPr>
        <w:t>, iż strategie wdrażania i walidacje produktów finalnych były opiniowane przez ok. 80 ekspertów, w tym zaledwie 17 zaopiniowało więcej niż 2 projekty innowacyjne.</w:t>
      </w:r>
    </w:p>
    <w:p w:rsidR="005138AC" w:rsidRPr="005138AC" w:rsidRDefault="005138AC" w:rsidP="000056B1">
      <w:pPr>
        <w:jc w:val="both"/>
        <w:rPr>
          <w:b/>
          <w:sz w:val="24"/>
          <w:szCs w:val="24"/>
          <w:u w:val="single"/>
        </w:rPr>
      </w:pPr>
      <w:r w:rsidRPr="005138AC">
        <w:rPr>
          <w:b/>
          <w:sz w:val="24"/>
          <w:szCs w:val="24"/>
          <w:u w:val="single"/>
        </w:rPr>
        <w:t>Współpraca z IOK</w:t>
      </w:r>
    </w:p>
    <w:p w:rsidR="00BB280E" w:rsidRDefault="00BB280E" w:rsidP="000056B1">
      <w:pPr>
        <w:jc w:val="both"/>
        <w:rPr>
          <w:sz w:val="24"/>
          <w:szCs w:val="24"/>
        </w:rPr>
      </w:pPr>
      <w:r w:rsidRPr="00001B13">
        <w:rPr>
          <w:b/>
          <w:sz w:val="24"/>
          <w:szCs w:val="24"/>
        </w:rPr>
        <w:t>Przedstawiciele IOK (opiekunowie projektów innowacyjnych lub też inni pracownicy IOK) w przeważającej większości biorą udział w posiedzeniach ST</w:t>
      </w:r>
      <w:r>
        <w:rPr>
          <w:sz w:val="24"/>
          <w:szCs w:val="24"/>
        </w:rPr>
        <w:t xml:space="preserve">, co na pewno poprawia przepływ informacji pomiędzy ST i IOK, a także </w:t>
      </w:r>
      <w:r w:rsidR="00927CF7">
        <w:rPr>
          <w:sz w:val="24"/>
          <w:szCs w:val="24"/>
        </w:rPr>
        <w:t>ułatwia</w:t>
      </w:r>
      <w:r w:rsidR="00BB77F7">
        <w:rPr>
          <w:sz w:val="24"/>
          <w:szCs w:val="24"/>
        </w:rPr>
        <w:t xml:space="preserve"> decyzję IOK</w:t>
      </w:r>
      <w:r>
        <w:rPr>
          <w:sz w:val="24"/>
          <w:szCs w:val="24"/>
        </w:rPr>
        <w:t xml:space="preserve"> w sprawie </w:t>
      </w:r>
      <w:r w:rsidR="00BB77F7">
        <w:rPr>
          <w:sz w:val="24"/>
          <w:szCs w:val="24"/>
        </w:rPr>
        <w:t xml:space="preserve">opinii na temat strategii wdrażania czy walidacji produktu finalnego. </w:t>
      </w:r>
    </w:p>
    <w:p w:rsidR="005138AC" w:rsidRPr="005138AC" w:rsidRDefault="005138AC" w:rsidP="000056B1">
      <w:pPr>
        <w:jc w:val="both"/>
        <w:rPr>
          <w:b/>
          <w:sz w:val="24"/>
          <w:szCs w:val="24"/>
          <w:u w:val="single"/>
        </w:rPr>
      </w:pPr>
      <w:r w:rsidRPr="005138AC">
        <w:rPr>
          <w:b/>
          <w:sz w:val="24"/>
          <w:szCs w:val="24"/>
          <w:u w:val="single"/>
        </w:rPr>
        <w:t>Animacja prac ST</w:t>
      </w:r>
    </w:p>
    <w:p w:rsidR="00BB77F7" w:rsidRDefault="00F060A7" w:rsidP="000056B1">
      <w:pPr>
        <w:jc w:val="both"/>
        <w:rPr>
          <w:sz w:val="24"/>
          <w:szCs w:val="24"/>
        </w:rPr>
      </w:pPr>
      <w:r w:rsidRPr="00001B13">
        <w:rPr>
          <w:b/>
          <w:sz w:val="24"/>
          <w:szCs w:val="24"/>
        </w:rPr>
        <w:t>Aspektem wartym uwagi jest problem animacji Sieci Tematycznych</w:t>
      </w:r>
      <w:r>
        <w:rPr>
          <w:sz w:val="24"/>
          <w:szCs w:val="24"/>
        </w:rPr>
        <w:t xml:space="preserve">. Na pytanie dotyczące konieczności podejmowania działań animacyjnych, </w:t>
      </w:r>
      <w:r w:rsidR="00927CF7">
        <w:rPr>
          <w:sz w:val="24"/>
          <w:szCs w:val="24"/>
        </w:rPr>
        <w:t>połowa</w:t>
      </w:r>
      <w:r>
        <w:rPr>
          <w:sz w:val="24"/>
          <w:szCs w:val="24"/>
        </w:rPr>
        <w:t xml:space="preserve"> badanych udzieliło odpowiedzi pozytywnej. Jednocześnie </w:t>
      </w:r>
      <w:r w:rsidR="00927CF7">
        <w:rPr>
          <w:sz w:val="24"/>
          <w:szCs w:val="24"/>
        </w:rPr>
        <w:t>większość</w:t>
      </w:r>
      <w:r>
        <w:rPr>
          <w:sz w:val="24"/>
          <w:szCs w:val="24"/>
        </w:rPr>
        <w:t xml:space="preserve"> przyznał</w:t>
      </w:r>
      <w:r w:rsidR="00927CF7">
        <w:rPr>
          <w:sz w:val="24"/>
          <w:szCs w:val="24"/>
        </w:rPr>
        <w:t>a</w:t>
      </w:r>
      <w:r>
        <w:rPr>
          <w:sz w:val="24"/>
          <w:szCs w:val="24"/>
        </w:rPr>
        <w:t xml:space="preserve">, że nie podejmuje takich działań w obrębie swojej Sieci. </w:t>
      </w:r>
      <w:r w:rsidR="00D17791">
        <w:rPr>
          <w:sz w:val="24"/>
          <w:szCs w:val="24"/>
        </w:rPr>
        <w:t xml:space="preserve">Na pytanie o poziom aktywności członków ST, </w:t>
      </w:r>
      <w:r w:rsidR="00927CF7">
        <w:rPr>
          <w:sz w:val="24"/>
          <w:szCs w:val="24"/>
        </w:rPr>
        <w:t>większość</w:t>
      </w:r>
      <w:r w:rsidR="00D17791">
        <w:rPr>
          <w:sz w:val="24"/>
          <w:szCs w:val="24"/>
        </w:rPr>
        <w:t xml:space="preserve"> ocenił</w:t>
      </w:r>
      <w:r w:rsidR="00927CF7">
        <w:rPr>
          <w:sz w:val="24"/>
          <w:szCs w:val="24"/>
        </w:rPr>
        <w:t>a</w:t>
      </w:r>
      <w:r w:rsidR="00D17791">
        <w:rPr>
          <w:sz w:val="24"/>
          <w:szCs w:val="24"/>
        </w:rPr>
        <w:t xml:space="preserve"> go jako raczej wysoki i wysoki. </w:t>
      </w:r>
    </w:p>
    <w:p w:rsidR="00D17791" w:rsidRDefault="00D17791" w:rsidP="000056B1">
      <w:pPr>
        <w:jc w:val="both"/>
        <w:rPr>
          <w:sz w:val="24"/>
          <w:szCs w:val="24"/>
        </w:rPr>
      </w:pPr>
      <w:r w:rsidRPr="00001B13">
        <w:rPr>
          <w:b/>
          <w:sz w:val="24"/>
          <w:szCs w:val="24"/>
        </w:rPr>
        <w:t>Wyniki badania kształtują także pozytywny obraz współpracy sekr</w:t>
      </w:r>
      <w:r w:rsidR="00A15F17" w:rsidRPr="00001B13">
        <w:rPr>
          <w:b/>
          <w:sz w:val="24"/>
          <w:szCs w:val="24"/>
        </w:rPr>
        <w:t>etariatów ST pomiędzy sobą</w:t>
      </w:r>
      <w:r w:rsidR="00A15F17">
        <w:rPr>
          <w:sz w:val="24"/>
          <w:szCs w:val="24"/>
        </w:rPr>
        <w:t xml:space="preserve">. </w:t>
      </w:r>
      <w:r w:rsidR="00927CF7">
        <w:rPr>
          <w:sz w:val="24"/>
          <w:szCs w:val="24"/>
        </w:rPr>
        <w:t xml:space="preserve">Zdecydowana </w:t>
      </w:r>
      <w:r w:rsidR="0028567F">
        <w:rPr>
          <w:sz w:val="24"/>
          <w:szCs w:val="24"/>
        </w:rPr>
        <w:t>większość</w:t>
      </w:r>
      <w:r>
        <w:rPr>
          <w:sz w:val="24"/>
          <w:szCs w:val="24"/>
        </w:rPr>
        <w:t xml:space="preserve"> respondentów wskazuje, że wymienia się informacjami z innymi sekretariatami ST. </w:t>
      </w:r>
      <w:r w:rsidRPr="00001B13">
        <w:rPr>
          <w:b/>
          <w:sz w:val="24"/>
          <w:szCs w:val="24"/>
        </w:rPr>
        <w:t>Wspó</w:t>
      </w:r>
      <w:r w:rsidR="00A15F17" w:rsidRPr="00001B13">
        <w:rPr>
          <w:b/>
          <w:sz w:val="24"/>
          <w:szCs w:val="24"/>
        </w:rPr>
        <w:t>łpraca z S</w:t>
      </w:r>
      <w:r w:rsidRPr="00001B13">
        <w:rPr>
          <w:b/>
          <w:sz w:val="24"/>
          <w:szCs w:val="24"/>
        </w:rPr>
        <w:t xml:space="preserve">ekretariatem Ogólnym </w:t>
      </w:r>
      <w:r w:rsidR="00A15F17" w:rsidRPr="00001B13">
        <w:rPr>
          <w:b/>
          <w:sz w:val="24"/>
          <w:szCs w:val="24"/>
        </w:rPr>
        <w:t>ST usytuowanym w KIW-CPE została</w:t>
      </w:r>
      <w:r w:rsidRPr="00001B13">
        <w:rPr>
          <w:b/>
          <w:sz w:val="24"/>
          <w:szCs w:val="24"/>
        </w:rPr>
        <w:t xml:space="preserve"> oceniona jako raczej wysoka i wysoka przez </w:t>
      </w:r>
      <w:r w:rsidR="00927CF7">
        <w:rPr>
          <w:b/>
          <w:sz w:val="24"/>
          <w:szCs w:val="24"/>
        </w:rPr>
        <w:t>wszystkich</w:t>
      </w:r>
      <w:r w:rsidRPr="00001B13">
        <w:rPr>
          <w:b/>
          <w:sz w:val="24"/>
          <w:szCs w:val="24"/>
        </w:rPr>
        <w:t xml:space="preserve"> badanych</w:t>
      </w:r>
      <w:r>
        <w:rPr>
          <w:sz w:val="24"/>
          <w:szCs w:val="24"/>
        </w:rPr>
        <w:t xml:space="preserve">. </w:t>
      </w:r>
    </w:p>
    <w:p w:rsidR="007C77C3" w:rsidRDefault="007C77C3" w:rsidP="00001B13">
      <w:pPr>
        <w:jc w:val="both"/>
        <w:rPr>
          <w:sz w:val="24"/>
          <w:szCs w:val="24"/>
        </w:rPr>
      </w:pPr>
    </w:p>
    <w:p w:rsidR="007C77C3" w:rsidRDefault="007C77C3" w:rsidP="00001B13">
      <w:pPr>
        <w:jc w:val="both"/>
        <w:rPr>
          <w:sz w:val="24"/>
          <w:szCs w:val="24"/>
        </w:rPr>
      </w:pPr>
    </w:p>
    <w:sectPr w:rsidR="007C77C3" w:rsidSect="00C4196C">
      <w:headerReference w:type="default" r:id="rId8"/>
      <w:footerReference w:type="default" r:id="rId9"/>
      <w:pgSz w:w="11906" w:h="16838"/>
      <w:pgMar w:top="1417" w:right="1417" w:bottom="1417" w:left="1417" w:header="34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6F7" w:rsidRDefault="006906F7" w:rsidP="00CB4B67">
      <w:pPr>
        <w:spacing w:after="0" w:line="240" w:lineRule="auto"/>
      </w:pPr>
      <w:r>
        <w:separator/>
      </w:r>
    </w:p>
  </w:endnote>
  <w:endnote w:type="continuationSeparator" w:id="0">
    <w:p w:rsidR="006906F7" w:rsidRDefault="006906F7" w:rsidP="00CB4B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6" w:rsidRDefault="00C23F46" w:rsidP="00360D2E">
    <w:pPr>
      <w:pStyle w:val="Stopka"/>
    </w:pPr>
    <w:r>
      <w:rPr>
        <w:noProof/>
        <w:lang w:eastAsia="pl-PL"/>
      </w:rPr>
      <w:drawing>
        <wp:inline distT="0" distB="0" distL="0" distR="0">
          <wp:extent cx="5760720" cy="762038"/>
          <wp:effectExtent l="19050" t="0" r="0" b="0"/>
          <wp:docPr id="3" name="Obraz 1" descr="C:\Documents and Settings\Lukasz_Nowak\Pulpit\formatki_KIW\eps\pas_dolny_kiw_kolor_p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ukasz_Nowak\Pulpit\formatki_KIW\eps\pas_dolny_kiw_kolor_pol.jpg"/>
                  <pic:cNvPicPr>
                    <a:picLocks noChangeAspect="1" noChangeArrowheads="1"/>
                  </pic:cNvPicPr>
                </pic:nvPicPr>
                <pic:blipFill>
                  <a:blip r:embed="rId1"/>
                  <a:srcRect/>
                  <a:stretch>
                    <a:fillRect/>
                  </a:stretch>
                </pic:blipFill>
                <pic:spPr bwMode="auto">
                  <a:xfrm>
                    <a:off x="0" y="0"/>
                    <a:ext cx="5760720" cy="762038"/>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6F7" w:rsidRDefault="006906F7" w:rsidP="00CB4B67">
      <w:pPr>
        <w:spacing w:after="0" w:line="240" w:lineRule="auto"/>
      </w:pPr>
      <w:r>
        <w:separator/>
      </w:r>
    </w:p>
  </w:footnote>
  <w:footnote w:type="continuationSeparator" w:id="0">
    <w:p w:rsidR="006906F7" w:rsidRDefault="006906F7" w:rsidP="00CB4B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16346798"/>
      <w:docPartObj>
        <w:docPartGallery w:val="Page Numbers (Top of Page)"/>
        <w:docPartUnique/>
      </w:docPartObj>
    </w:sdtPr>
    <w:sdtEndPr>
      <w:rPr>
        <w:color w:val="auto"/>
        <w:spacing w:val="0"/>
      </w:rPr>
    </w:sdtEndPr>
    <w:sdtContent>
      <w:p w:rsidR="00C23F46" w:rsidRDefault="00C23F46">
        <w:pPr>
          <w:pStyle w:val="Nagwek"/>
          <w:pBdr>
            <w:bottom w:val="single" w:sz="4" w:space="1" w:color="D9D9D9" w:themeColor="background1" w:themeShade="D9"/>
          </w:pBdr>
          <w:jc w:val="right"/>
          <w:rPr>
            <w:b/>
          </w:rPr>
        </w:pPr>
        <w:r>
          <w:rPr>
            <w:color w:val="7F7F7F" w:themeColor="background1" w:themeShade="7F"/>
            <w:spacing w:val="60"/>
          </w:rPr>
          <w:t>Strona</w:t>
        </w:r>
        <w:r>
          <w:t xml:space="preserve"> | </w:t>
        </w:r>
        <w:fldSimple w:instr=" PAGE   \* MERGEFORMAT ">
          <w:r w:rsidR="004075B1" w:rsidRPr="004075B1">
            <w:rPr>
              <w:b/>
              <w:noProof/>
            </w:rPr>
            <w:t>4</w:t>
          </w:r>
        </w:fldSimple>
      </w:p>
    </w:sdtContent>
  </w:sdt>
  <w:p w:rsidR="00C23F46" w:rsidRDefault="00C23F4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4AF"/>
    <w:multiLevelType w:val="hybridMultilevel"/>
    <w:tmpl w:val="ED7A29D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03783D5F"/>
    <w:multiLevelType w:val="hybridMultilevel"/>
    <w:tmpl w:val="6FF68D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0857618"/>
    <w:multiLevelType w:val="hybridMultilevel"/>
    <w:tmpl w:val="B1DAB0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B42579C"/>
    <w:multiLevelType w:val="hybridMultilevel"/>
    <w:tmpl w:val="71EE32F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EB668FE"/>
    <w:multiLevelType w:val="hybridMultilevel"/>
    <w:tmpl w:val="5900BC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448287D"/>
    <w:multiLevelType w:val="hybridMultilevel"/>
    <w:tmpl w:val="1A907A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0986805"/>
    <w:multiLevelType w:val="hybridMultilevel"/>
    <w:tmpl w:val="ADFE6FF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490316E"/>
    <w:multiLevelType w:val="hybridMultilevel"/>
    <w:tmpl w:val="F0CA1B7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E812471"/>
    <w:multiLevelType w:val="hybridMultilevel"/>
    <w:tmpl w:val="92B2535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91E378F"/>
    <w:multiLevelType w:val="hybridMultilevel"/>
    <w:tmpl w:val="23D2A95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B8F7ED6"/>
    <w:multiLevelType w:val="hybridMultilevel"/>
    <w:tmpl w:val="794240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C923B2F"/>
    <w:multiLevelType w:val="hybridMultilevel"/>
    <w:tmpl w:val="7C0EB5C2"/>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nsid w:val="4F27621D"/>
    <w:multiLevelType w:val="hybridMultilevel"/>
    <w:tmpl w:val="605899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F496799"/>
    <w:multiLevelType w:val="hybridMultilevel"/>
    <w:tmpl w:val="2750916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4711E4A"/>
    <w:multiLevelType w:val="hybridMultilevel"/>
    <w:tmpl w:val="D938CB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7E17A10"/>
    <w:multiLevelType w:val="hybridMultilevel"/>
    <w:tmpl w:val="F4C0FE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DEE16B3"/>
    <w:multiLevelType w:val="hybridMultilevel"/>
    <w:tmpl w:val="F1C80F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5C85ACE"/>
    <w:multiLevelType w:val="hybridMultilevel"/>
    <w:tmpl w:val="C95696F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B720F09"/>
    <w:multiLevelType w:val="hybridMultilevel"/>
    <w:tmpl w:val="FD3ED48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7"/>
  </w:num>
  <w:num w:numId="4">
    <w:abstractNumId w:val="6"/>
  </w:num>
  <w:num w:numId="5">
    <w:abstractNumId w:val="3"/>
  </w:num>
  <w:num w:numId="6">
    <w:abstractNumId w:val="7"/>
  </w:num>
  <w:num w:numId="7">
    <w:abstractNumId w:val="8"/>
  </w:num>
  <w:num w:numId="8">
    <w:abstractNumId w:val="13"/>
  </w:num>
  <w:num w:numId="9">
    <w:abstractNumId w:val="0"/>
  </w:num>
  <w:num w:numId="10">
    <w:abstractNumId w:val="9"/>
  </w:num>
  <w:num w:numId="11">
    <w:abstractNumId w:val="2"/>
  </w:num>
  <w:num w:numId="12">
    <w:abstractNumId w:val="14"/>
  </w:num>
  <w:num w:numId="13">
    <w:abstractNumId w:val="1"/>
  </w:num>
  <w:num w:numId="14">
    <w:abstractNumId w:val="15"/>
  </w:num>
  <w:num w:numId="15">
    <w:abstractNumId w:val="5"/>
  </w:num>
  <w:num w:numId="16">
    <w:abstractNumId w:val="4"/>
  </w:num>
  <w:num w:numId="17">
    <w:abstractNumId w:val="12"/>
  </w:num>
  <w:num w:numId="18">
    <w:abstractNumId w:val="11"/>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rsids>
    <w:rsidRoot w:val="00CB4B67"/>
    <w:rsid w:val="00001B13"/>
    <w:rsid w:val="000021A7"/>
    <w:rsid w:val="000056B1"/>
    <w:rsid w:val="00007A5A"/>
    <w:rsid w:val="00012823"/>
    <w:rsid w:val="000239A2"/>
    <w:rsid w:val="000327A1"/>
    <w:rsid w:val="00033CF7"/>
    <w:rsid w:val="0004581E"/>
    <w:rsid w:val="00056476"/>
    <w:rsid w:val="00071EAD"/>
    <w:rsid w:val="00082F1C"/>
    <w:rsid w:val="000901EC"/>
    <w:rsid w:val="000B11C2"/>
    <w:rsid w:val="000C03EA"/>
    <w:rsid w:val="000C7336"/>
    <w:rsid w:val="000D1157"/>
    <w:rsid w:val="000D1274"/>
    <w:rsid w:val="00101E2A"/>
    <w:rsid w:val="0013105A"/>
    <w:rsid w:val="0013144F"/>
    <w:rsid w:val="00131D4D"/>
    <w:rsid w:val="001368C0"/>
    <w:rsid w:val="00140F01"/>
    <w:rsid w:val="00152B03"/>
    <w:rsid w:val="001575DE"/>
    <w:rsid w:val="001617D6"/>
    <w:rsid w:val="0016391A"/>
    <w:rsid w:val="001872AB"/>
    <w:rsid w:val="00190311"/>
    <w:rsid w:val="00197BA3"/>
    <w:rsid w:val="001B5CD1"/>
    <w:rsid w:val="001C2EB8"/>
    <w:rsid w:val="001D17DC"/>
    <w:rsid w:val="001D7C15"/>
    <w:rsid w:val="002012D9"/>
    <w:rsid w:val="00207395"/>
    <w:rsid w:val="00210CAB"/>
    <w:rsid w:val="00211F07"/>
    <w:rsid w:val="00214DA9"/>
    <w:rsid w:val="00220221"/>
    <w:rsid w:val="002323DA"/>
    <w:rsid w:val="00261CBB"/>
    <w:rsid w:val="0026799C"/>
    <w:rsid w:val="002761C1"/>
    <w:rsid w:val="00282297"/>
    <w:rsid w:val="0028567F"/>
    <w:rsid w:val="00287B5E"/>
    <w:rsid w:val="002A57DD"/>
    <w:rsid w:val="002C3499"/>
    <w:rsid w:val="002D4D77"/>
    <w:rsid w:val="002D669C"/>
    <w:rsid w:val="003052F5"/>
    <w:rsid w:val="00307D5F"/>
    <w:rsid w:val="003234F9"/>
    <w:rsid w:val="0032736B"/>
    <w:rsid w:val="00333E10"/>
    <w:rsid w:val="00341579"/>
    <w:rsid w:val="00360D2E"/>
    <w:rsid w:val="003714CE"/>
    <w:rsid w:val="00397324"/>
    <w:rsid w:val="003A16A0"/>
    <w:rsid w:val="003B4BA3"/>
    <w:rsid w:val="003F7922"/>
    <w:rsid w:val="004075B1"/>
    <w:rsid w:val="0041311D"/>
    <w:rsid w:val="0041721A"/>
    <w:rsid w:val="004219C4"/>
    <w:rsid w:val="00424F7A"/>
    <w:rsid w:val="00452C9C"/>
    <w:rsid w:val="00460860"/>
    <w:rsid w:val="004762CD"/>
    <w:rsid w:val="00480A10"/>
    <w:rsid w:val="004A014A"/>
    <w:rsid w:val="004A440B"/>
    <w:rsid w:val="004A53B4"/>
    <w:rsid w:val="004B23E5"/>
    <w:rsid w:val="004B57CD"/>
    <w:rsid w:val="004C2DB2"/>
    <w:rsid w:val="004D0FA4"/>
    <w:rsid w:val="004D5B02"/>
    <w:rsid w:val="004D62D5"/>
    <w:rsid w:val="004D6965"/>
    <w:rsid w:val="004E5161"/>
    <w:rsid w:val="004F39B3"/>
    <w:rsid w:val="004F3E6C"/>
    <w:rsid w:val="004F5684"/>
    <w:rsid w:val="00505437"/>
    <w:rsid w:val="005138AC"/>
    <w:rsid w:val="0051751E"/>
    <w:rsid w:val="005215A2"/>
    <w:rsid w:val="00521665"/>
    <w:rsid w:val="0052167D"/>
    <w:rsid w:val="00524A23"/>
    <w:rsid w:val="00535E22"/>
    <w:rsid w:val="0055757E"/>
    <w:rsid w:val="005900DF"/>
    <w:rsid w:val="00593746"/>
    <w:rsid w:val="005A57CC"/>
    <w:rsid w:val="005B13ED"/>
    <w:rsid w:val="005B34AE"/>
    <w:rsid w:val="005D154C"/>
    <w:rsid w:val="006137C1"/>
    <w:rsid w:val="00613FA3"/>
    <w:rsid w:val="00614C02"/>
    <w:rsid w:val="006266B7"/>
    <w:rsid w:val="006308D1"/>
    <w:rsid w:val="00632388"/>
    <w:rsid w:val="0063506F"/>
    <w:rsid w:val="0063626F"/>
    <w:rsid w:val="006547F4"/>
    <w:rsid w:val="00655DBC"/>
    <w:rsid w:val="00666FA0"/>
    <w:rsid w:val="006730C6"/>
    <w:rsid w:val="0068769C"/>
    <w:rsid w:val="006906F7"/>
    <w:rsid w:val="006A21B2"/>
    <w:rsid w:val="006B0D7F"/>
    <w:rsid w:val="006B3B22"/>
    <w:rsid w:val="006E1E45"/>
    <w:rsid w:val="006F4216"/>
    <w:rsid w:val="00704DC9"/>
    <w:rsid w:val="0072481E"/>
    <w:rsid w:val="00742FC3"/>
    <w:rsid w:val="00767285"/>
    <w:rsid w:val="00783893"/>
    <w:rsid w:val="00784DAD"/>
    <w:rsid w:val="007A0A39"/>
    <w:rsid w:val="007A4CAC"/>
    <w:rsid w:val="007C4CFB"/>
    <w:rsid w:val="007C77C3"/>
    <w:rsid w:val="007D2C3B"/>
    <w:rsid w:val="007E1D42"/>
    <w:rsid w:val="008033D8"/>
    <w:rsid w:val="00832CA4"/>
    <w:rsid w:val="00834C29"/>
    <w:rsid w:val="00861C21"/>
    <w:rsid w:val="0086430B"/>
    <w:rsid w:val="00865330"/>
    <w:rsid w:val="00885A46"/>
    <w:rsid w:val="008B3276"/>
    <w:rsid w:val="008C3EB8"/>
    <w:rsid w:val="008C53C1"/>
    <w:rsid w:val="008C53F0"/>
    <w:rsid w:val="008C5F2B"/>
    <w:rsid w:val="008D3446"/>
    <w:rsid w:val="008D45BB"/>
    <w:rsid w:val="008F7C22"/>
    <w:rsid w:val="0091535E"/>
    <w:rsid w:val="009168E9"/>
    <w:rsid w:val="00920421"/>
    <w:rsid w:val="00924B16"/>
    <w:rsid w:val="00924C9C"/>
    <w:rsid w:val="00927CF7"/>
    <w:rsid w:val="00952143"/>
    <w:rsid w:val="0095554B"/>
    <w:rsid w:val="009611C7"/>
    <w:rsid w:val="009620DE"/>
    <w:rsid w:val="00980BD6"/>
    <w:rsid w:val="00992C64"/>
    <w:rsid w:val="00995FF1"/>
    <w:rsid w:val="009B3263"/>
    <w:rsid w:val="009B51C0"/>
    <w:rsid w:val="009B77C8"/>
    <w:rsid w:val="009C1059"/>
    <w:rsid w:val="009C5AC2"/>
    <w:rsid w:val="009C68B4"/>
    <w:rsid w:val="009D41DD"/>
    <w:rsid w:val="009E0C45"/>
    <w:rsid w:val="009F0B9E"/>
    <w:rsid w:val="00A105E0"/>
    <w:rsid w:val="00A1273A"/>
    <w:rsid w:val="00A143DD"/>
    <w:rsid w:val="00A15F17"/>
    <w:rsid w:val="00A2544B"/>
    <w:rsid w:val="00A2624D"/>
    <w:rsid w:val="00A4101C"/>
    <w:rsid w:val="00A87CC5"/>
    <w:rsid w:val="00A934DE"/>
    <w:rsid w:val="00AA67B1"/>
    <w:rsid w:val="00AA6F4C"/>
    <w:rsid w:val="00AB1BAA"/>
    <w:rsid w:val="00AD6167"/>
    <w:rsid w:val="00AE4A05"/>
    <w:rsid w:val="00AE7E34"/>
    <w:rsid w:val="00AF2CA3"/>
    <w:rsid w:val="00B012AD"/>
    <w:rsid w:val="00B02810"/>
    <w:rsid w:val="00B075C5"/>
    <w:rsid w:val="00B1535A"/>
    <w:rsid w:val="00B21946"/>
    <w:rsid w:val="00B23CC9"/>
    <w:rsid w:val="00B24EF1"/>
    <w:rsid w:val="00B33900"/>
    <w:rsid w:val="00B40AF8"/>
    <w:rsid w:val="00B4316F"/>
    <w:rsid w:val="00B52C8D"/>
    <w:rsid w:val="00B67122"/>
    <w:rsid w:val="00B82CE5"/>
    <w:rsid w:val="00B91A24"/>
    <w:rsid w:val="00B93F16"/>
    <w:rsid w:val="00BB11A9"/>
    <w:rsid w:val="00BB280E"/>
    <w:rsid w:val="00BB77F7"/>
    <w:rsid w:val="00BC09B9"/>
    <w:rsid w:val="00BE6F25"/>
    <w:rsid w:val="00BF585A"/>
    <w:rsid w:val="00C03AC6"/>
    <w:rsid w:val="00C20DFD"/>
    <w:rsid w:val="00C23F46"/>
    <w:rsid w:val="00C25C3F"/>
    <w:rsid w:val="00C4196C"/>
    <w:rsid w:val="00C423F9"/>
    <w:rsid w:val="00C43479"/>
    <w:rsid w:val="00C4667E"/>
    <w:rsid w:val="00C503F6"/>
    <w:rsid w:val="00C50A06"/>
    <w:rsid w:val="00C531AB"/>
    <w:rsid w:val="00C6121A"/>
    <w:rsid w:val="00C61E03"/>
    <w:rsid w:val="00C65028"/>
    <w:rsid w:val="00C77BD0"/>
    <w:rsid w:val="00CB4B67"/>
    <w:rsid w:val="00CC1F28"/>
    <w:rsid w:val="00CD3300"/>
    <w:rsid w:val="00CD6613"/>
    <w:rsid w:val="00CE1F87"/>
    <w:rsid w:val="00CE23CB"/>
    <w:rsid w:val="00CF03A9"/>
    <w:rsid w:val="00D11A2F"/>
    <w:rsid w:val="00D16E20"/>
    <w:rsid w:val="00D17791"/>
    <w:rsid w:val="00D21910"/>
    <w:rsid w:val="00D35037"/>
    <w:rsid w:val="00D43D13"/>
    <w:rsid w:val="00D54795"/>
    <w:rsid w:val="00D73D82"/>
    <w:rsid w:val="00D80047"/>
    <w:rsid w:val="00D85632"/>
    <w:rsid w:val="00D8767F"/>
    <w:rsid w:val="00D91EE6"/>
    <w:rsid w:val="00DA45BB"/>
    <w:rsid w:val="00DD238E"/>
    <w:rsid w:val="00DD3085"/>
    <w:rsid w:val="00DE2952"/>
    <w:rsid w:val="00DE7AA9"/>
    <w:rsid w:val="00DF00E5"/>
    <w:rsid w:val="00E03B41"/>
    <w:rsid w:val="00E249EA"/>
    <w:rsid w:val="00E24DA9"/>
    <w:rsid w:val="00E36E20"/>
    <w:rsid w:val="00E424B2"/>
    <w:rsid w:val="00E56B4D"/>
    <w:rsid w:val="00E832E7"/>
    <w:rsid w:val="00E860F5"/>
    <w:rsid w:val="00E9301C"/>
    <w:rsid w:val="00E97E77"/>
    <w:rsid w:val="00EB009B"/>
    <w:rsid w:val="00EB7688"/>
    <w:rsid w:val="00EC41E8"/>
    <w:rsid w:val="00EC51FC"/>
    <w:rsid w:val="00ED393D"/>
    <w:rsid w:val="00F0184C"/>
    <w:rsid w:val="00F01EDD"/>
    <w:rsid w:val="00F060A7"/>
    <w:rsid w:val="00F156DE"/>
    <w:rsid w:val="00F3476A"/>
    <w:rsid w:val="00F475BE"/>
    <w:rsid w:val="00F50367"/>
    <w:rsid w:val="00F50AAA"/>
    <w:rsid w:val="00F65432"/>
    <w:rsid w:val="00F65CE6"/>
    <w:rsid w:val="00F84189"/>
    <w:rsid w:val="00F9355F"/>
    <w:rsid w:val="00F94781"/>
    <w:rsid w:val="00FB2DF1"/>
    <w:rsid w:val="00FB3213"/>
    <w:rsid w:val="00FB3D0A"/>
    <w:rsid w:val="00FC76D9"/>
    <w:rsid w:val="00FE6E94"/>
    <w:rsid w:val="00FF207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4DA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4B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4B67"/>
  </w:style>
  <w:style w:type="paragraph" w:styleId="Stopka">
    <w:name w:val="footer"/>
    <w:basedOn w:val="Normalny"/>
    <w:link w:val="StopkaZnak"/>
    <w:uiPriority w:val="99"/>
    <w:unhideWhenUsed/>
    <w:rsid w:val="00CB4B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4B67"/>
  </w:style>
  <w:style w:type="paragraph" w:styleId="Tekstdymka">
    <w:name w:val="Balloon Text"/>
    <w:basedOn w:val="Normalny"/>
    <w:link w:val="TekstdymkaZnak"/>
    <w:uiPriority w:val="99"/>
    <w:semiHidden/>
    <w:unhideWhenUsed/>
    <w:rsid w:val="00CB4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B4B67"/>
    <w:rPr>
      <w:rFonts w:ascii="Tahoma" w:hAnsi="Tahoma" w:cs="Tahoma"/>
      <w:sz w:val="16"/>
      <w:szCs w:val="16"/>
    </w:rPr>
  </w:style>
  <w:style w:type="table" w:styleId="Tabela-Siatka">
    <w:name w:val="Table Grid"/>
    <w:basedOn w:val="Standardowy"/>
    <w:uiPriority w:val="59"/>
    <w:rsid w:val="00B21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190311"/>
    <w:pPr>
      <w:ind w:left="720"/>
      <w:contextualSpacing/>
    </w:pPr>
  </w:style>
  <w:style w:type="paragraph" w:styleId="Bezodstpw">
    <w:name w:val="No Spacing"/>
    <w:link w:val="BezodstpwZnak"/>
    <w:uiPriority w:val="1"/>
    <w:qFormat/>
    <w:rsid w:val="00AE4A05"/>
    <w:pPr>
      <w:spacing w:after="0" w:line="240" w:lineRule="auto"/>
    </w:pPr>
    <w:rPr>
      <w:rFonts w:eastAsiaTheme="minorEastAsia"/>
    </w:rPr>
  </w:style>
  <w:style w:type="character" w:customStyle="1" w:styleId="BezodstpwZnak">
    <w:name w:val="Bez odstępów Znak"/>
    <w:basedOn w:val="Domylnaczcionkaakapitu"/>
    <w:link w:val="Bezodstpw"/>
    <w:uiPriority w:val="1"/>
    <w:rsid w:val="00AE4A05"/>
    <w:rPr>
      <w:rFonts w:eastAsiaTheme="minorEastAsia"/>
    </w:rPr>
  </w:style>
  <w:style w:type="paragraph" w:styleId="Tekstprzypisudolnego">
    <w:name w:val="footnote text"/>
    <w:basedOn w:val="Normalny"/>
    <w:link w:val="TekstprzypisudolnegoZnak"/>
    <w:uiPriority w:val="99"/>
    <w:semiHidden/>
    <w:unhideWhenUsed/>
    <w:rsid w:val="005900D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900DF"/>
    <w:rPr>
      <w:sz w:val="20"/>
      <w:szCs w:val="20"/>
    </w:rPr>
  </w:style>
  <w:style w:type="character" w:styleId="Odwoanieprzypisudolnego">
    <w:name w:val="footnote reference"/>
    <w:basedOn w:val="Domylnaczcionkaakapitu"/>
    <w:uiPriority w:val="99"/>
    <w:semiHidden/>
    <w:unhideWhenUsed/>
    <w:rsid w:val="005900DF"/>
    <w:rPr>
      <w:vertAlign w:val="superscript"/>
    </w:rPr>
  </w:style>
  <w:style w:type="character" w:styleId="Odwoaniedokomentarza">
    <w:name w:val="annotation reference"/>
    <w:basedOn w:val="Domylnaczcionkaakapitu"/>
    <w:uiPriority w:val="99"/>
    <w:semiHidden/>
    <w:unhideWhenUsed/>
    <w:rsid w:val="00397324"/>
    <w:rPr>
      <w:sz w:val="16"/>
      <w:szCs w:val="16"/>
    </w:rPr>
  </w:style>
  <w:style w:type="paragraph" w:styleId="Tekstkomentarza">
    <w:name w:val="annotation text"/>
    <w:basedOn w:val="Normalny"/>
    <w:link w:val="TekstkomentarzaZnak"/>
    <w:uiPriority w:val="99"/>
    <w:semiHidden/>
    <w:unhideWhenUsed/>
    <w:rsid w:val="003973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97324"/>
    <w:rPr>
      <w:sz w:val="20"/>
      <w:szCs w:val="20"/>
    </w:rPr>
  </w:style>
  <w:style w:type="paragraph" w:styleId="Tematkomentarza">
    <w:name w:val="annotation subject"/>
    <w:basedOn w:val="Tekstkomentarza"/>
    <w:next w:val="Tekstkomentarza"/>
    <w:link w:val="TematkomentarzaZnak"/>
    <w:uiPriority w:val="99"/>
    <w:semiHidden/>
    <w:unhideWhenUsed/>
    <w:rsid w:val="00397324"/>
    <w:rPr>
      <w:b/>
      <w:bCs/>
    </w:rPr>
  </w:style>
  <w:style w:type="character" w:customStyle="1" w:styleId="TematkomentarzaZnak">
    <w:name w:val="Temat komentarza Znak"/>
    <w:basedOn w:val="TekstkomentarzaZnak"/>
    <w:link w:val="Tematkomentarza"/>
    <w:uiPriority w:val="99"/>
    <w:semiHidden/>
    <w:rsid w:val="00397324"/>
    <w:rPr>
      <w:b/>
      <w:bCs/>
    </w:rPr>
  </w:style>
</w:styles>
</file>

<file path=word/webSettings.xml><?xml version="1.0" encoding="utf-8"?>
<w:webSettings xmlns:r="http://schemas.openxmlformats.org/officeDocument/2006/relationships" xmlns:w="http://schemas.openxmlformats.org/wordprocessingml/2006/main">
  <w:divs>
    <w:div w:id="175986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1646E-962A-48AA-9E1F-43CA9529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967</Words>
  <Characters>5806</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dorota</cp:lastModifiedBy>
  <cp:revision>5</cp:revision>
  <cp:lastPrinted>2012-09-03T07:46:00Z</cp:lastPrinted>
  <dcterms:created xsi:type="dcterms:W3CDTF">2013-03-14T10:39:00Z</dcterms:created>
  <dcterms:modified xsi:type="dcterms:W3CDTF">2013-03-14T10:43:00Z</dcterms:modified>
</cp:coreProperties>
</file>