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6E" w:rsidRPr="00B70B54" w:rsidRDefault="00BE256E" w:rsidP="008E076C">
      <w:pPr>
        <w:pStyle w:val="Tekstpodstawowy"/>
        <w:spacing w:line="360" w:lineRule="auto"/>
        <w:rPr>
          <w:sz w:val="24"/>
          <w:szCs w:val="24"/>
        </w:rPr>
      </w:pPr>
      <w:r w:rsidRPr="00B70B54">
        <w:rPr>
          <w:sz w:val="24"/>
          <w:szCs w:val="24"/>
        </w:rPr>
        <w:t>Projekty innowacyjne real</w:t>
      </w:r>
      <w:r w:rsidR="00393219" w:rsidRPr="00B70B54">
        <w:rPr>
          <w:sz w:val="24"/>
          <w:szCs w:val="24"/>
        </w:rPr>
        <w:t xml:space="preserve">izowane w obszarze tematycznym </w:t>
      </w:r>
      <w:r w:rsidRPr="00B70B54">
        <w:rPr>
          <w:sz w:val="24"/>
          <w:szCs w:val="24"/>
        </w:rPr>
        <w:t xml:space="preserve">„Edukacja i szkolnictwo wyższe”  </w:t>
      </w:r>
    </w:p>
    <w:p w:rsidR="00BE256E" w:rsidRDefault="00BE256E">
      <w:pPr>
        <w:spacing w:line="360" w:lineRule="auto"/>
        <w:jc w:val="both"/>
      </w:pPr>
      <w:r>
        <w:t xml:space="preserve">W latach 2009–2012 w obszarze „Edukacja i szkolnictwo wyższe” zostało ogłoszonych 47 konkursów na projekty innowacyjne (45 konkursów w komponencie regionalnym, dwa w komponencie centralnym). </w:t>
      </w:r>
    </w:p>
    <w:p w:rsidR="005C425B" w:rsidRDefault="00BE256E" w:rsidP="005C425B">
      <w:pPr>
        <w:spacing w:line="360" w:lineRule="auto"/>
        <w:jc w:val="both"/>
      </w:pPr>
      <w:r>
        <w:t xml:space="preserve">W ramach komponentu regionalnego najwięcej projektów innowacyjnych testujących oraz projektów innowacyjnych testujących z komponentem ponadnarodowym realizowanych jest w województwie wielkopolskim (9), żaden projekt nie jest natomiast realizowany w  województwach podkarpackim, lubuskim i śląskim. W ramach Priorytetu IX („Rozwój kształcenia i kompetencji w regionach”) wdrażanych jest 37 projektów innowacyjnych i projektów innowacyjnych testujących z komponentem ponadnarodowym. </w:t>
      </w:r>
      <w:r w:rsidR="00333A51" w:rsidRPr="00333A51">
        <w:t>Na realizację tych projektów przeznaczono</w:t>
      </w:r>
      <w:r w:rsidR="00333A51">
        <w:t xml:space="preserve"> ponad 235 mln zł.</w:t>
      </w:r>
    </w:p>
    <w:p w:rsidR="005C425B" w:rsidRPr="00B70B54" w:rsidRDefault="005C425B" w:rsidP="005C425B">
      <w:pPr>
        <w:spacing w:line="360" w:lineRule="auto"/>
        <w:jc w:val="both"/>
        <w:rPr>
          <w:i/>
          <w:sz w:val="20"/>
          <w:szCs w:val="20"/>
        </w:rPr>
      </w:pPr>
      <w:r w:rsidRPr="00B70B54">
        <w:rPr>
          <w:i/>
          <w:sz w:val="20"/>
          <w:szCs w:val="20"/>
        </w:rPr>
        <w:t xml:space="preserve">Liczba projektów innowacyjnych realizowanych w komponencie regionalnym w Priorytecie IX w poszczególnych województwach </w:t>
      </w:r>
    </w:p>
    <w:p w:rsidR="00BE256E" w:rsidRPr="008E076C" w:rsidRDefault="008E076C" w:rsidP="008E076C">
      <w:pPr>
        <w:pStyle w:val="Tekstpodstawowy2"/>
        <w:jc w:val="center"/>
        <w:rPr>
          <w:b/>
          <w:bCs/>
        </w:rPr>
      </w:pPr>
      <w:r w:rsidRPr="008E076C">
        <w:rPr>
          <w:b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ykres 5" o:spid="_x0000_i1025" type="#_x0000_t75" style="width:361.45pt;height:216.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im0sk3QAAAAUBAAAPAAAAZHJzL2Rvd25y&#10;ZXYueG1sTI/BTsMwEETvSPyDtUjcqENaFZLGqRCICyAkQnvIbRMvSdp4HcVuG/4ew6VcVhrNaOZt&#10;tp5ML440us6ygttZBIK4trrjRsHm8/nmHoTzyBp7y6Tgmxys88uLDFNtT/xBx8I3IpSwS1FB6/2Q&#10;Sunqlgy6mR2Ig/dlR4M+yLGResRTKDe9jKNoKQ12HBZaHOixpXpfHIyCXfn6Vr0n1VOdlJttEhVI&#10;Jb8odX01PaxAeJr8OQy/+AEd8sBU2QNrJ3oF4RH/d4N3F8cJiErBYj5fgMwz+Z8+/wE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">
            <v:imagedata r:id="rId8" o:title=""/>
            <o:lock v:ext="edit" aspectratio="f"/>
          </v:shape>
        </w:pict>
      </w:r>
    </w:p>
    <w:p w:rsidR="008E076C" w:rsidRDefault="008E076C">
      <w:pPr>
        <w:spacing w:line="360" w:lineRule="auto"/>
        <w:jc w:val="both"/>
      </w:pPr>
    </w:p>
    <w:p w:rsidR="00BE256E" w:rsidRPr="00B70B54" w:rsidRDefault="00BE256E">
      <w:pPr>
        <w:spacing w:line="360" w:lineRule="auto"/>
        <w:jc w:val="both"/>
        <w:rPr>
          <w:i/>
          <w:sz w:val="20"/>
          <w:szCs w:val="20"/>
        </w:rPr>
      </w:pPr>
      <w:r w:rsidRPr="00B70B54">
        <w:rPr>
          <w:i/>
          <w:sz w:val="20"/>
          <w:szCs w:val="20"/>
        </w:rPr>
        <w:t>Liczba projektów innowacyjnych realizowanych w poszczególnych tematach w komponencie regionalnym w Priorytecie IX</w:t>
      </w:r>
    </w:p>
    <w:p w:rsidR="00BE256E" w:rsidRDefault="00BE256E" w:rsidP="00333A51">
      <w:pPr>
        <w:spacing w:line="360" w:lineRule="auto"/>
      </w:pPr>
      <w:r>
        <w:t xml:space="preserve">Temat                                                                                                          </w:t>
      </w:r>
      <w:r w:rsidR="00333A51">
        <w:tab/>
      </w:r>
      <w:r w:rsidR="008E076C">
        <w:tab/>
      </w:r>
      <w:r>
        <w:t>Liczba projektów</w:t>
      </w:r>
    </w:p>
    <w:tbl>
      <w:tblPr>
        <w:tblW w:w="894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7102"/>
        <w:gridCol w:w="1838"/>
      </w:tblGrid>
      <w:tr w:rsidR="00BE256E" w:rsidTr="008E076C">
        <w:trPr>
          <w:trHeight w:val="285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 xml:space="preserve">Modernizacja oferty kształcenia zawodowego w powiązaniu z potrzebami lokalnego/ regionalnego rynku pracy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jc w:val="center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BE256E" w:rsidTr="008E076C">
        <w:trPr>
          <w:trHeight w:val="285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 xml:space="preserve">Nowe modele doradztwa edukacyjnego/zawodowego ukierunkowanego na </w:t>
            </w: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lastRenderedPageBreak/>
              <w:t>rozwijanie kompetencji ogólnych (kluczowych) i zawodowych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jc w:val="center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</w:tr>
      <w:tr w:rsidR="00BE256E" w:rsidTr="008E076C">
        <w:trPr>
          <w:trHeight w:val="285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lastRenderedPageBreak/>
              <w:t>Nowe modele kształcenia przez całe życie, w tym integrowanie funkcjonujących modeli kształcenia ustawicznego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jc w:val="center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BE256E" w:rsidTr="008E076C">
        <w:trPr>
          <w:trHeight w:val="660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 xml:space="preserve">Proces dydaktyczny ukierunkowany na efekty uczenia się, w tym kształtujący kompetencje twórczego myślenia, innowacyjności i pracy zespołowej wśród uczniów, </w:t>
            </w:r>
          </w:p>
          <w:p w:rsidR="00BE256E" w:rsidRDefault="00BE256E">
            <w:pPr>
              <w:spacing w:after="0" w:line="360" w:lineRule="auto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 xml:space="preserve">a także wspierający budowanie zaufania społecznego i kapitału społecznego 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6E" w:rsidRDefault="00BE256E">
            <w:pPr>
              <w:spacing w:after="0" w:line="360" w:lineRule="auto"/>
              <w:jc w:val="center"/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</w:tbl>
    <w:p w:rsidR="00B70B54" w:rsidRDefault="00B70B54">
      <w:pPr>
        <w:spacing w:line="360" w:lineRule="auto"/>
        <w:jc w:val="both"/>
      </w:pPr>
    </w:p>
    <w:p w:rsidR="00BE256E" w:rsidRDefault="00BE256E">
      <w:pPr>
        <w:spacing w:line="360" w:lineRule="auto"/>
        <w:jc w:val="both"/>
        <w:rPr>
          <w:b/>
          <w:i/>
        </w:rPr>
      </w:pPr>
      <w:r>
        <w:t xml:space="preserve">Projekty w komponencie centralnym wdrażane są przez Ośrodek Rozwoju Edukacji w ramach Priorytetu III PO KL („Wysoka jakość systemu oświaty”) oraz przez Narodowe Centrum Badań i Rozwoju w ramach Priorytetu IV („Szkolnictwo wyższe i nauka”). </w:t>
      </w:r>
    </w:p>
    <w:p w:rsidR="00BE256E" w:rsidRPr="00333A51" w:rsidRDefault="00BE256E">
      <w:pPr>
        <w:spacing w:line="360" w:lineRule="auto"/>
        <w:jc w:val="both"/>
        <w:rPr>
          <w:color w:val="FF0000"/>
          <w:sz w:val="28"/>
        </w:rPr>
      </w:pPr>
      <w:r>
        <w:t>W ramach Priorytetu III realizowanych jest obecnie 39 projektów innowacyjnych testujących w temacie „</w:t>
      </w:r>
      <w:r>
        <w:rPr>
          <w:iCs/>
        </w:rPr>
        <w:t xml:space="preserve">Działania służące zwiększeniu zainteresowania uczniów szkół podstawowych, gimnazjalnych i </w:t>
      </w:r>
      <w:proofErr w:type="spellStart"/>
      <w:r>
        <w:rPr>
          <w:iCs/>
        </w:rPr>
        <w:t>ponadgimnazjalnych</w:t>
      </w:r>
      <w:proofErr w:type="spellEnd"/>
      <w:r>
        <w:rPr>
          <w:iCs/>
        </w:rPr>
        <w:t xml:space="preserve"> kontynuacją kształcenia na kierunkach o kluczowym znaczeniu dla gospodarki opartej na wiedzy”</w:t>
      </w:r>
      <w:r>
        <w:rPr>
          <w:i/>
        </w:rPr>
        <w:t xml:space="preserve">. </w:t>
      </w:r>
      <w:r w:rsidR="00333A51" w:rsidRPr="00333A51">
        <w:t xml:space="preserve">Na realizację tych projektów przeznaczono </w:t>
      </w:r>
      <w:r>
        <w:t xml:space="preserve">175 mln zł. </w:t>
      </w:r>
    </w:p>
    <w:p w:rsidR="00BE256E" w:rsidRDefault="00BE256E">
      <w:pPr>
        <w:spacing w:line="360" w:lineRule="auto"/>
        <w:jc w:val="both"/>
      </w:pPr>
      <w:r>
        <w:t xml:space="preserve">Trwają również negocjacje z realizatorami projektów w ramach Priorytetu IV, rekomendowanych do dofinansowania przez Narodowe Centrum Badań i Rozwoju. NCBiR wybrało w konkursie 20 projektów. </w:t>
      </w:r>
      <w:r w:rsidR="00333A51" w:rsidRPr="00333A51">
        <w:t xml:space="preserve">Na realizację tych projektów przeznaczono </w:t>
      </w:r>
      <w:r w:rsidRPr="00333A51">
        <w:t>50 mln zł.</w:t>
      </w:r>
      <w:r>
        <w:t xml:space="preserve"> </w:t>
      </w:r>
    </w:p>
    <w:p w:rsidR="008D6419" w:rsidRPr="008D6419" w:rsidRDefault="008D6419" w:rsidP="008D6419">
      <w:pPr>
        <w:pStyle w:val="Nagwek1"/>
        <w:rPr>
          <w:rFonts w:asciiTheme="minorHAnsi" w:hAnsiTheme="minorHAnsi"/>
          <w:sz w:val="24"/>
          <w:szCs w:val="24"/>
        </w:rPr>
      </w:pPr>
      <w:r w:rsidRPr="008D6419">
        <w:rPr>
          <w:rFonts w:asciiTheme="minorHAnsi" w:hAnsiTheme="minorHAnsi"/>
          <w:sz w:val="24"/>
          <w:szCs w:val="24"/>
        </w:rPr>
        <w:t>Projekty innowacyjne realizowane w obszarze tematycznym „Adaptacyjność”</w:t>
      </w:r>
    </w:p>
    <w:p w:rsidR="008D6419" w:rsidRPr="008D6419" w:rsidRDefault="008D6419" w:rsidP="008D6419">
      <w:pPr>
        <w:spacing w:after="0" w:line="340" w:lineRule="exact"/>
        <w:jc w:val="both"/>
        <w:rPr>
          <w:rFonts w:asciiTheme="minorHAnsi" w:hAnsiTheme="minorHAnsi"/>
        </w:rPr>
      </w:pPr>
      <w:r w:rsidRPr="008D6419">
        <w:rPr>
          <w:rFonts w:asciiTheme="minorHAnsi" w:hAnsiTheme="minorHAnsi"/>
        </w:rPr>
        <w:t>W latach 2009–2012 w obszarze „</w:t>
      </w:r>
      <w:r w:rsidRPr="008D6419">
        <w:rPr>
          <w:rFonts w:asciiTheme="minorHAnsi" w:hAnsiTheme="minorHAnsi"/>
          <w:b/>
        </w:rPr>
        <w:t>Adaptacyjność</w:t>
      </w:r>
      <w:r w:rsidRPr="008D6419">
        <w:rPr>
          <w:rFonts w:asciiTheme="minorHAnsi" w:hAnsiTheme="minorHAnsi"/>
        </w:rPr>
        <w:t xml:space="preserve">” zostały ogłoszone 44 konkursy na projekty innowacyjne (41 konkursów w komponencie regionalnym, 3 w komponencie centralnym). </w:t>
      </w: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</w:rPr>
      </w:pPr>
    </w:p>
    <w:p w:rsidR="008D6419" w:rsidRPr="008D6419" w:rsidRDefault="008D6419" w:rsidP="008D6419">
      <w:pPr>
        <w:spacing w:after="0" w:line="340" w:lineRule="exact"/>
        <w:jc w:val="both"/>
        <w:rPr>
          <w:rFonts w:asciiTheme="minorHAnsi" w:hAnsiTheme="minorHAnsi"/>
        </w:rPr>
      </w:pPr>
      <w:r w:rsidRPr="008D6419">
        <w:rPr>
          <w:rFonts w:asciiTheme="minorHAnsi" w:hAnsiTheme="minorHAnsi"/>
        </w:rPr>
        <w:t xml:space="preserve">W komponencie regionalnym projekty w tym obszarze realizowane są w ramach </w:t>
      </w:r>
      <w:r w:rsidRPr="008D6419">
        <w:rPr>
          <w:rFonts w:asciiTheme="minorHAnsi" w:hAnsiTheme="minorHAnsi"/>
          <w:b/>
        </w:rPr>
        <w:t>Priorytetu VIII</w:t>
      </w:r>
      <w:r w:rsidRPr="008D6419">
        <w:rPr>
          <w:rFonts w:asciiTheme="minorHAnsi" w:hAnsiTheme="minorHAnsi"/>
        </w:rPr>
        <w:t xml:space="preserve"> PO KL („Regionalne kadry gospodarki”). Najwięcej projektów innowacyjnych testujących i projektów innowacyjnych testujących z komponentem ponadnarodowym jest obecnie realizowanych w województwie wielkopolskim (9), w województwach lubuskim, lubelskim i opolskim nie jest realizowany żaden projekt. </w:t>
      </w: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</w:rPr>
      </w:pPr>
    </w:p>
    <w:p w:rsidR="008D6419" w:rsidRPr="008D6419" w:rsidRDefault="008D6419" w:rsidP="008D6419">
      <w:pPr>
        <w:pStyle w:val="Tekstpodstawowy2"/>
        <w:spacing w:after="0" w:line="340" w:lineRule="exact"/>
        <w:rPr>
          <w:rFonts w:asciiTheme="minorHAnsi" w:hAnsiTheme="minorHAnsi"/>
          <w:color w:val="auto"/>
        </w:rPr>
      </w:pPr>
      <w:r w:rsidRPr="008D6419">
        <w:rPr>
          <w:rFonts w:asciiTheme="minorHAnsi" w:hAnsiTheme="minorHAnsi"/>
          <w:color w:val="auto"/>
        </w:rPr>
        <w:t>W Priorytecie VIII realizowanych jest obecnie 47 projektów innowacyjnych (stan na październik 2012).</w:t>
      </w:r>
    </w:p>
    <w:p w:rsidR="008D6419" w:rsidRPr="008D6419" w:rsidRDefault="008D6419" w:rsidP="008D6419">
      <w:pPr>
        <w:spacing w:after="0" w:line="340" w:lineRule="exact"/>
        <w:jc w:val="both"/>
        <w:rPr>
          <w:rFonts w:asciiTheme="minorHAnsi" w:hAnsiTheme="minorHAnsi"/>
        </w:rPr>
      </w:pP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  <w:i/>
          <w:sz w:val="20"/>
          <w:szCs w:val="20"/>
        </w:rPr>
      </w:pP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  <w:i/>
          <w:sz w:val="20"/>
          <w:szCs w:val="20"/>
        </w:rPr>
      </w:pP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  <w:i/>
          <w:sz w:val="20"/>
          <w:szCs w:val="20"/>
        </w:rPr>
      </w:pPr>
    </w:p>
    <w:p w:rsidR="008D6419" w:rsidRDefault="008D6419" w:rsidP="008D6419">
      <w:pPr>
        <w:spacing w:after="0" w:line="340" w:lineRule="exact"/>
        <w:jc w:val="both"/>
        <w:rPr>
          <w:rFonts w:asciiTheme="minorHAnsi" w:hAnsiTheme="minorHAnsi"/>
          <w:i/>
          <w:sz w:val="20"/>
          <w:szCs w:val="20"/>
        </w:rPr>
      </w:pPr>
    </w:p>
    <w:p w:rsidR="008D6419" w:rsidRPr="008D6419" w:rsidRDefault="008D6419" w:rsidP="008D6419">
      <w:pPr>
        <w:spacing w:after="0" w:line="340" w:lineRule="exact"/>
        <w:jc w:val="both"/>
        <w:rPr>
          <w:rFonts w:asciiTheme="minorHAnsi" w:hAnsiTheme="minorHAnsi"/>
          <w:i/>
          <w:sz w:val="20"/>
          <w:szCs w:val="20"/>
        </w:rPr>
      </w:pPr>
      <w:r w:rsidRPr="008D6419">
        <w:rPr>
          <w:rFonts w:asciiTheme="minorHAnsi" w:hAnsiTheme="minorHAnsi"/>
          <w:i/>
          <w:sz w:val="20"/>
          <w:szCs w:val="20"/>
        </w:rPr>
        <w:lastRenderedPageBreak/>
        <w:t>Liczba projektów innowacyjnych realizowanych w poszczególnych tematach w Priorytecie VIII w komponencie regionalnym</w:t>
      </w:r>
    </w:p>
    <w:p w:rsidR="008D6419" w:rsidRPr="008D6419" w:rsidRDefault="008D6419" w:rsidP="008D6419">
      <w:pPr>
        <w:spacing w:line="240" w:lineRule="atLeast"/>
        <w:jc w:val="both"/>
        <w:rPr>
          <w:rFonts w:asciiTheme="minorHAnsi" w:hAnsiTheme="minorHAnsi"/>
        </w:rPr>
      </w:pPr>
    </w:p>
    <w:p w:rsidR="008D6419" w:rsidRPr="008D6419" w:rsidRDefault="008D6419" w:rsidP="008D6419">
      <w:pPr>
        <w:spacing w:line="240" w:lineRule="atLeast"/>
        <w:jc w:val="both"/>
        <w:rPr>
          <w:rFonts w:asciiTheme="minorHAnsi" w:hAnsiTheme="minorHAnsi"/>
        </w:rPr>
      </w:pPr>
      <w:r w:rsidRPr="008D6419">
        <w:rPr>
          <w:rFonts w:asciiTheme="minorHAnsi" w:hAnsiTheme="minorHAnsi"/>
        </w:rPr>
        <w:t>Tytuł tematu                                                                                                                         Liczba projektów</w:t>
      </w:r>
    </w:p>
    <w:tbl>
      <w:tblPr>
        <w:tblW w:w="908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7952"/>
        <w:gridCol w:w="1134"/>
      </w:tblGrid>
      <w:tr w:rsidR="008D6419" w:rsidRPr="008D6419" w:rsidTr="008D6419">
        <w:trPr>
          <w:trHeight w:val="283"/>
        </w:trPr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rPr>
                <w:rFonts w:asciiTheme="minorHAnsi" w:hAnsiTheme="minorHAnsi" w:cs="Arial"/>
                <w:color w:val="000000"/>
              </w:rPr>
            </w:pPr>
            <w:bookmarkStart w:id="0" w:name="RANGE!D1"/>
            <w:r w:rsidRPr="008D6419">
              <w:rPr>
                <w:rFonts w:asciiTheme="minorHAnsi" w:hAnsiTheme="minorHAnsi" w:cs="Arial"/>
                <w:color w:val="000000"/>
              </w:rPr>
              <w:t>Metody utrzymania aktywności zawodowej pracowników w grupie wiekowej 50+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11</w:t>
            </w:r>
          </w:p>
        </w:tc>
      </w:tr>
      <w:tr w:rsidR="008D6419" w:rsidRPr="008D6419" w:rsidTr="008D6419">
        <w:trPr>
          <w:trHeight w:val="283"/>
        </w:trPr>
        <w:tc>
          <w:tcPr>
            <w:tcW w:w="7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Wzmocnienie współpracy przedsiębiorców z sektorem nauki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11</w:t>
            </w:r>
          </w:p>
        </w:tc>
      </w:tr>
      <w:tr w:rsidR="008D6419" w:rsidRPr="008D6419" w:rsidTr="008D6419">
        <w:trPr>
          <w:trHeight w:val="283"/>
        </w:trPr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Rozwijanie przedsiębiorczości akademickiej jako formy kształtowania innowacyjnych kadr nowoczesnej gospodarki oraz rozwiązania w zakresie wykorzystania wyników badań naukowych przez przedsiębiorców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7</w:t>
            </w:r>
          </w:p>
        </w:tc>
      </w:tr>
      <w:tr w:rsidR="008D6419" w:rsidRPr="008D6419" w:rsidTr="008D6419">
        <w:trPr>
          <w:trHeight w:val="283"/>
        </w:trPr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 xml:space="preserve">Analiza, testowanie i wdrażanie idei </w:t>
            </w:r>
            <w:proofErr w:type="spellStart"/>
            <w:r w:rsidRPr="008D6419">
              <w:rPr>
                <w:rFonts w:asciiTheme="minorHAnsi" w:hAnsiTheme="minorHAnsi" w:cs="Arial"/>
                <w:i/>
                <w:iCs/>
                <w:color w:val="000000"/>
              </w:rPr>
              <w:t>flexicurity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4</w:t>
            </w:r>
          </w:p>
        </w:tc>
      </w:tr>
      <w:tr w:rsidR="008D6419" w:rsidRPr="008D6419" w:rsidTr="008D6419">
        <w:trPr>
          <w:trHeight w:val="283"/>
        </w:trPr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Działania mające na celu wsparcie pracodawców oraz pracowników przedsiębiorstw przechodzących procesy adaptacyjne i modernizacyjne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19" w:rsidRPr="008D6419" w:rsidRDefault="008D6419" w:rsidP="00F87F88">
            <w:pPr>
              <w:spacing w:before="60" w:after="60" w:line="24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8D6419">
              <w:rPr>
                <w:rFonts w:asciiTheme="minorHAnsi" w:hAnsiTheme="minorHAnsi" w:cs="Arial"/>
                <w:color w:val="000000"/>
              </w:rPr>
              <w:t>4</w:t>
            </w:r>
            <w:ins w:id="1" w:author="_" w:date="2012-11-16T09:43:00Z">
              <w:r w:rsidRPr="008D6419">
                <w:rPr>
                  <w:rFonts w:asciiTheme="minorHAnsi" w:hAnsiTheme="minorHAnsi" w:cs="Arial"/>
                  <w:color w:val="000000"/>
                </w:rPr>
                <w:t xml:space="preserve"> </w:t>
              </w:r>
            </w:ins>
          </w:p>
        </w:tc>
      </w:tr>
    </w:tbl>
    <w:p w:rsidR="008D6419" w:rsidRPr="008D6419" w:rsidRDefault="008D6419" w:rsidP="008D6419">
      <w:pPr>
        <w:spacing w:line="240" w:lineRule="atLeast"/>
        <w:rPr>
          <w:rFonts w:asciiTheme="minorHAnsi" w:hAnsiTheme="minorHAnsi"/>
        </w:rPr>
      </w:pPr>
      <w:r w:rsidRPr="008D6419">
        <w:rPr>
          <w:rFonts w:asciiTheme="minorHAnsi" w:hAnsiTheme="minorHAnsi"/>
        </w:rPr>
        <w:t xml:space="preserve">Razem                                                                                                                         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8D6419">
        <w:rPr>
          <w:rFonts w:asciiTheme="minorHAnsi" w:hAnsiTheme="minorHAnsi"/>
        </w:rPr>
        <w:t xml:space="preserve">       47</w:t>
      </w:r>
    </w:p>
    <w:p w:rsidR="008D6419" w:rsidRPr="008D6419" w:rsidRDefault="008D6419" w:rsidP="008D6419">
      <w:pPr>
        <w:spacing w:line="240" w:lineRule="atLeast"/>
        <w:jc w:val="both"/>
        <w:rPr>
          <w:rFonts w:asciiTheme="minorHAnsi" w:hAnsiTheme="minorHAnsi"/>
        </w:rPr>
      </w:pPr>
      <w:r w:rsidRPr="008D6419">
        <w:rPr>
          <w:rFonts w:asciiTheme="minorHAnsi" w:hAnsiTheme="minorHAnsi"/>
        </w:rPr>
        <w:t xml:space="preserve">W ramach Priorytetu VIII do tej pory zostało </w:t>
      </w:r>
      <w:proofErr w:type="spellStart"/>
      <w:r w:rsidRPr="008D6419">
        <w:rPr>
          <w:rFonts w:asciiTheme="minorHAnsi" w:hAnsiTheme="minorHAnsi"/>
        </w:rPr>
        <w:t>zwalidowanych</w:t>
      </w:r>
      <w:proofErr w:type="spellEnd"/>
      <w:r w:rsidRPr="008D6419">
        <w:rPr>
          <w:rFonts w:asciiTheme="minorHAnsi" w:hAnsiTheme="minorHAnsi"/>
        </w:rPr>
        <w:t xml:space="preserve"> 5 produktów finalnych. </w:t>
      </w:r>
    </w:p>
    <w:p w:rsidR="008D6419" w:rsidRPr="008D6419" w:rsidRDefault="008D6419" w:rsidP="008D6419">
      <w:pPr>
        <w:pStyle w:val="Tekstpodstawowy"/>
        <w:rPr>
          <w:rFonts w:asciiTheme="minorHAnsi" w:hAnsiTheme="minorHAnsi"/>
          <w:i/>
          <w:sz w:val="22"/>
          <w:szCs w:val="22"/>
        </w:rPr>
      </w:pPr>
      <w:r w:rsidRPr="008D6419">
        <w:rPr>
          <w:rFonts w:asciiTheme="minorHAnsi" w:hAnsiTheme="minorHAnsi"/>
          <w:sz w:val="22"/>
          <w:szCs w:val="22"/>
        </w:rPr>
        <w:t xml:space="preserve">Projekty w komponencie centralnym wdrażane są przez Polską Agencję Rozwoju Przedsiębiorczości w ramach </w:t>
      </w:r>
      <w:r w:rsidRPr="008D6419">
        <w:rPr>
          <w:rFonts w:asciiTheme="minorHAnsi" w:hAnsiTheme="minorHAnsi"/>
          <w:b w:val="0"/>
          <w:sz w:val="22"/>
          <w:szCs w:val="22"/>
        </w:rPr>
        <w:t>Priorytetu II</w:t>
      </w:r>
      <w:r w:rsidRPr="008D6419">
        <w:rPr>
          <w:rFonts w:asciiTheme="minorHAnsi" w:hAnsiTheme="minorHAnsi"/>
          <w:sz w:val="22"/>
          <w:szCs w:val="22"/>
        </w:rPr>
        <w:t xml:space="preserve"> PO KL („Rozwój zasobów ludzkich i potencjału adaptacyjnego przedsiębiorstw oraz poprawa stanu zdrowia osób pracujących”). W Priorytecie tym realizowane są obecnie 4 projekty innowacyjne testujące. </w:t>
      </w:r>
    </w:p>
    <w:p w:rsidR="008D6419" w:rsidRPr="008D6419" w:rsidRDefault="008D6419" w:rsidP="008D6419">
      <w:pPr>
        <w:spacing w:line="240" w:lineRule="atLeast"/>
        <w:jc w:val="both"/>
        <w:rPr>
          <w:rFonts w:asciiTheme="minorHAnsi" w:hAnsiTheme="minorHAnsi"/>
          <w:iCs/>
        </w:rPr>
      </w:pPr>
      <w:r w:rsidRPr="008D6419">
        <w:rPr>
          <w:rFonts w:asciiTheme="minorHAnsi" w:hAnsiTheme="minorHAnsi"/>
        </w:rPr>
        <w:t xml:space="preserve">Liczba projektów innowacyjnych realizowanych w poszczególnych tematach w Priorytecie II w komponencie centralnym </w:t>
      </w:r>
    </w:p>
    <w:tbl>
      <w:tblPr>
        <w:tblW w:w="908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8094"/>
        <w:gridCol w:w="992"/>
      </w:tblGrid>
      <w:tr w:rsidR="008D6419" w:rsidRPr="008D6419" w:rsidTr="00F87F88">
        <w:trPr>
          <w:trHeight w:val="597"/>
        </w:trPr>
        <w:tc>
          <w:tcPr>
            <w:tcW w:w="8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19" w:rsidRPr="008D6419" w:rsidRDefault="008D6419" w:rsidP="00F87F88">
            <w:pPr>
              <w:spacing w:after="0" w:line="240" w:lineRule="atLeast"/>
              <w:rPr>
                <w:rFonts w:asciiTheme="minorHAnsi" w:eastAsia="Times New Roman" w:hAnsiTheme="minorHAnsi" w:cs="Arial"/>
                <w:iCs/>
                <w:color w:val="000000"/>
                <w:lang w:eastAsia="pl-PL"/>
              </w:rPr>
            </w:pPr>
            <w:r w:rsidRPr="008D6419">
              <w:rPr>
                <w:rFonts w:asciiTheme="minorHAnsi" w:hAnsiTheme="minorHAnsi"/>
                <w:iCs/>
              </w:rPr>
              <w:t>Działania mające na celu wsparcie pracodawców oraz pracowników przedsiębiorstw przechodzących procesy adaptacyjne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419" w:rsidRPr="008D6419" w:rsidRDefault="008D6419" w:rsidP="00F87F88">
            <w:pPr>
              <w:spacing w:after="0" w:line="240" w:lineRule="atLeast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8D6419">
              <w:rPr>
                <w:rFonts w:asciiTheme="minorHAnsi" w:eastAsia="Times New Roman" w:hAnsiTheme="minorHAnsi" w:cs="Arial"/>
                <w:color w:val="000000"/>
                <w:lang w:eastAsia="pl-PL"/>
              </w:rPr>
              <w:t>2</w:t>
            </w:r>
          </w:p>
        </w:tc>
      </w:tr>
      <w:tr w:rsidR="008D6419" w:rsidRPr="008D6419" w:rsidTr="00F87F88">
        <w:trPr>
          <w:trHeight w:val="350"/>
        </w:trPr>
        <w:tc>
          <w:tcPr>
            <w:tcW w:w="8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19" w:rsidRPr="008D6419" w:rsidRDefault="008D6419" w:rsidP="00F87F88">
            <w:pPr>
              <w:spacing w:after="0" w:line="240" w:lineRule="atLeast"/>
              <w:rPr>
                <w:rFonts w:asciiTheme="minorHAnsi" w:eastAsia="Times New Roman" w:hAnsiTheme="minorHAnsi" w:cs="Arial"/>
                <w:iCs/>
                <w:color w:val="000000"/>
                <w:lang w:eastAsia="pl-PL"/>
              </w:rPr>
            </w:pPr>
            <w:r w:rsidRPr="008D6419">
              <w:rPr>
                <w:rFonts w:asciiTheme="minorHAnsi" w:hAnsiTheme="minorHAnsi"/>
                <w:iCs/>
              </w:rPr>
              <w:t>Analiza, testowanie nowych metod zarządzania różnorodnością w przedsiębiorstwie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419" w:rsidRPr="008D6419" w:rsidRDefault="008D6419" w:rsidP="00F87F88">
            <w:pPr>
              <w:spacing w:after="0" w:line="240" w:lineRule="atLeast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8D6419">
              <w:rPr>
                <w:rFonts w:asciiTheme="minorHAnsi" w:eastAsia="Times New Roman" w:hAnsiTheme="minorHAnsi" w:cs="Arial"/>
                <w:color w:val="000000"/>
                <w:lang w:eastAsia="pl-PL"/>
              </w:rPr>
              <w:t>1</w:t>
            </w:r>
          </w:p>
        </w:tc>
      </w:tr>
      <w:tr w:rsidR="008D6419" w:rsidRPr="008D6419" w:rsidTr="00F87F88">
        <w:trPr>
          <w:trHeight w:val="412"/>
        </w:trPr>
        <w:tc>
          <w:tcPr>
            <w:tcW w:w="8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19" w:rsidRPr="008D6419" w:rsidRDefault="008D6419" w:rsidP="00F87F88">
            <w:pPr>
              <w:spacing w:after="0" w:line="240" w:lineRule="atLeast"/>
              <w:rPr>
                <w:rFonts w:asciiTheme="minorHAnsi" w:eastAsia="Times New Roman" w:hAnsiTheme="minorHAnsi" w:cs="Arial"/>
                <w:iCs/>
                <w:color w:val="000000"/>
                <w:lang w:eastAsia="pl-PL"/>
              </w:rPr>
            </w:pPr>
            <w:r w:rsidRPr="008D6419">
              <w:rPr>
                <w:rFonts w:asciiTheme="minorHAnsi" w:hAnsiTheme="minorHAnsi"/>
                <w:iCs/>
              </w:rPr>
              <w:t xml:space="preserve">Analiza, testowanie i wdrażanie idei </w:t>
            </w:r>
            <w:proofErr w:type="spellStart"/>
            <w:r w:rsidRPr="008D6419">
              <w:rPr>
                <w:rFonts w:asciiTheme="minorHAnsi" w:hAnsiTheme="minorHAnsi"/>
                <w:i/>
              </w:rPr>
              <w:t>flexicurity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419" w:rsidRPr="008D6419" w:rsidRDefault="008D6419" w:rsidP="00F87F88">
            <w:pPr>
              <w:spacing w:after="0" w:line="240" w:lineRule="atLeast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8D6419">
              <w:rPr>
                <w:rFonts w:asciiTheme="minorHAnsi" w:eastAsia="Times New Roman" w:hAnsiTheme="minorHAnsi" w:cs="Arial"/>
                <w:color w:val="000000"/>
                <w:lang w:eastAsia="pl-PL"/>
              </w:rPr>
              <w:t>1</w:t>
            </w:r>
          </w:p>
        </w:tc>
      </w:tr>
    </w:tbl>
    <w:p w:rsidR="008D6419" w:rsidRPr="008D6419" w:rsidRDefault="008D6419" w:rsidP="008D6419">
      <w:pPr>
        <w:pStyle w:val="Legenda"/>
        <w:rPr>
          <w:rFonts w:asciiTheme="minorHAnsi" w:hAnsiTheme="minorHAnsi"/>
          <w:b w:val="0"/>
          <w:bCs/>
          <w:sz w:val="22"/>
        </w:rPr>
      </w:pPr>
      <w:r w:rsidRPr="008D6419">
        <w:rPr>
          <w:rFonts w:asciiTheme="minorHAnsi" w:hAnsiTheme="minorHAnsi"/>
          <w:b w:val="0"/>
          <w:bCs/>
          <w:sz w:val="22"/>
        </w:rPr>
        <w:t>Razem                                                                                                                      4</w:t>
      </w:r>
    </w:p>
    <w:p w:rsidR="008D6419" w:rsidRPr="008D6419" w:rsidRDefault="008D6419" w:rsidP="008D6419">
      <w:pPr>
        <w:pStyle w:val="Tekstpodstawowy"/>
        <w:rPr>
          <w:rFonts w:asciiTheme="minorHAnsi" w:hAnsiTheme="minorHAnsi"/>
          <w:sz w:val="22"/>
          <w:szCs w:val="22"/>
        </w:rPr>
      </w:pPr>
      <w:r w:rsidRPr="008D6419">
        <w:rPr>
          <w:rFonts w:asciiTheme="minorHAnsi" w:hAnsiTheme="minorHAnsi"/>
          <w:sz w:val="22"/>
          <w:szCs w:val="22"/>
        </w:rPr>
        <w:t>Obecnie trwa procedura podpisywania umów wnioskodawcami, których przedsięwzięcia są rekomendowane do dofinansowania przez PARP w ramach konkursu „Rozwiązania jutra w HR”. PARP wybrała w konkursie 14 projektów. Alokacja w tym konkursie wynosiła 50 mln zł, a strategie wdrażania wyłonionych projektów będą oceniane przez Krajową Sieć Tematyczną „Adaptacyjność” w przyszłym roku.</w:t>
      </w:r>
    </w:p>
    <w:p w:rsidR="008D6419" w:rsidRPr="008D6419" w:rsidRDefault="008D6419">
      <w:pPr>
        <w:spacing w:line="360" w:lineRule="auto"/>
        <w:jc w:val="both"/>
        <w:rPr>
          <w:rFonts w:asciiTheme="minorHAnsi" w:hAnsiTheme="minorHAnsi"/>
          <w:color w:val="FF0000"/>
        </w:rPr>
      </w:pPr>
    </w:p>
    <w:sectPr w:rsidR="008D6419" w:rsidRPr="008D6419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280" w:rsidRDefault="00571280">
      <w:pPr>
        <w:spacing w:after="0" w:line="240" w:lineRule="auto"/>
      </w:pPr>
      <w:r>
        <w:separator/>
      </w:r>
    </w:p>
  </w:endnote>
  <w:endnote w:type="continuationSeparator" w:id="0">
    <w:p w:rsidR="00571280" w:rsidRDefault="0057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6E" w:rsidRDefault="00BE25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256E" w:rsidRDefault="00BE25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6E" w:rsidRDefault="00BE25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641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E256E" w:rsidRDefault="00BE256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280" w:rsidRDefault="00571280">
      <w:pPr>
        <w:spacing w:after="0" w:line="240" w:lineRule="auto"/>
      </w:pPr>
      <w:r>
        <w:separator/>
      </w:r>
    </w:p>
  </w:footnote>
  <w:footnote w:type="continuationSeparator" w:id="0">
    <w:p w:rsidR="00571280" w:rsidRDefault="00571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F5"/>
    <w:multiLevelType w:val="hybridMultilevel"/>
    <w:tmpl w:val="525E5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AC8"/>
    <w:multiLevelType w:val="hybridMultilevel"/>
    <w:tmpl w:val="0E2AA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F47B8"/>
    <w:multiLevelType w:val="hybridMultilevel"/>
    <w:tmpl w:val="385EB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219"/>
    <w:rsid w:val="000379C5"/>
    <w:rsid w:val="00333A51"/>
    <w:rsid w:val="00393219"/>
    <w:rsid w:val="00571280"/>
    <w:rsid w:val="005C425B"/>
    <w:rsid w:val="008D6419"/>
    <w:rsid w:val="008E076C"/>
    <w:rsid w:val="00B70B54"/>
    <w:rsid w:val="00BD1890"/>
    <w:rsid w:val="00BE256E"/>
    <w:rsid w:val="00D8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D6419"/>
    <w:pPr>
      <w:keepNext/>
      <w:spacing w:line="240" w:lineRule="atLeast"/>
      <w:outlineLvl w:val="0"/>
    </w:pPr>
    <w:rPr>
      <w:rFonts w:ascii="Times New Roman" w:hAnsi="Times New Roman"/>
      <w:b/>
      <w:sz w:val="28"/>
      <w:szCs w:val="28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Pr>
      <w:rFonts w:ascii="Tahoma" w:hAnsi="Tahoma" w:cs="Tahoma"/>
      <w:sz w:val="16"/>
      <w:szCs w:val="16"/>
    </w:rPr>
  </w:style>
  <w:style w:type="paragraph" w:styleId="Nagwek">
    <w:name w:val="header"/>
    <w:aliases w:val="Znak Znak, Znak,Znak,Znak + Wyjustowany,Przed:  3 pt,Po:  7,2 pt,Interlinia:  Wi..."/>
    <w:basedOn w:val="Normalny"/>
    <w:semiHidden/>
    <w:pPr>
      <w:tabs>
        <w:tab w:val="center" w:pos="4536"/>
        <w:tab w:val="right" w:pos="9072"/>
      </w:tabs>
      <w:spacing w:line="252" w:lineRule="auto"/>
    </w:pPr>
    <w:rPr>
      <w:rFonts w:ascii="Cambria" w:eastAsia="Times New Roman" w:hAnsi="Cambria"/>
      <w:lang w:val="en-US" w:bidi="en-US"/>
    </w:rPr>
  </w:style>
  <w:style w:type="character" w:customStyle="1" w:styleId="NagwekZnak">
    <w:name w:val="Nagłówek Znak"/>
    <w:basedOn w:val="Domylnaczcionkaakapitu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Tekstpodstawowy">
    <w:name w:val="Body Text"/>
    <w:basedOn w:val="Normalny"/>
    <w:semiHidden/>
    <w:pPr>
      <w:jc w:val="both"/>
    </w:pPr>
    <w:rPr>
      <w:b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color w:val="FF0000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color w:val="FF0000"/>
      <w:sz w:val="28"/>
    </w:rPr>
  </w:style>
  <w:style w:type="character" w:customStyle="1" w:styleId="Nagwek1Znak">
    <w:name w:val="Nagłówek 1 Znak"/>
    <w:basedOn w:val="Domylnaczcionkaakapitu"/>
    <w:link w:val="Nagwek1"/>
    <w:rsid w:val="008D6419"/>
    <w:rPr>
      <w:rFonts w:ascii="Times New Roman" w:hAnsi="Times New Roman"/>
      <w:b/>
      <w:sz w:val="28"/>
      <w:szCs w:val="28"/>
      <w:lang w:eastAsia="en-US"/>
    </w:rPr>
  </w:style>
  <w:style w:type="paragraph" w:styleId="Legenda">
    <w:name w:val="caption"/>
    <w:basedOn w:val="Normalny"/>
    <w:next w:val="Normalny"/>
    <w:qFormat/>
    <w:rsid w:val="008D6419"/>
    <w:pPr>
      <w:spacing w:line="240" w:lineRule="atLeast"/>
      <w:jc w:val="both"/>
    </w:pPr>
    <w:rPr>
      <w:rFonts w:ascii="Times New Roman" w:hAnsi="Times New Roman"/>
      <w:b/>
      <w:i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8E9B3-4FFB-406B-B0CB-82F0195F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Projekty innowacyjne realizowane w ramach obszaru tematycznego Edukacja i szkolnictwo wyższe  </vt:lpstr>
    </vt:vector>
  </TitlesOfParts>
  <Company>CPE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innowacyjne realizowane w ramach obszaru tematycznego Edukacja i szkolnictwo wyższe  </dc:title>
  <dc:subject/>
  <dc:creator> </dc:creator>
  <cp:keywords/>
  <dc:description/>
  <cp:lastModifiedBy> dorota</cp:lastModifiedBy>
  <cp:revision>4</cp:revision>
  <dcterms:created xsi:type="dcterms:W3CDTF">2013-03-14T11:10:00Z</dcterms:created>
  <dcterms:modified xsi:type="dcterms:W3CDTF">2013-03-14T11:16:00Z</dcterms:modified>
</cp:coreProperties>
</file>